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108"/>
        <w:tblLayout w:type="fixed"/>
      </w:tblPr>
      <w:tblGrid>
        <w:gridCol w:w="839"/>
        <w:gridCol w:w="280"/>
        <w:gridCol w:w="560"/>
        <w:gridCol w:w="560"/>
        <w:gridCol w:w="1119"/>
        <w:gridCol w:w="3499"/>
        <w:gridCol w:w="3349"/>
      </w:tblGrid>
      <w:tr>
        <w:tc>
          <w:tcPr>
            <w:tcW w:type="dxa" w:w="10206"/>
            <w:gridSpan w:val="7"/>
          </w:tcPr>
          <w:p w14:paraId="07000000">
            <w:pPr>
              <w:widowControl w:val="1"/>
              <w:ind/>
              <w:jc w:val="center"/>
            </w:pPr>
            <w:r>
              <w:rPr>
                <w:b w:val="1"/>
                <w:color w:val="000000"/>
                <w:sz w:val="28"/>
              </w:rPr>
              <w:t xml:space="preserve">    </w:t>
            </w:r>
            <w:r>
              <w:rPr>
                <w:b w:val="1"/>
                <w:color w:val="000000"/>
                <w:sz w:val="28"/>
              </w:rPr>
              <w:t>Сводный отчёт</w:t>
            </w:r>
            <w:r>
              <w:rPr>
                <w:b w:val="1"/>
                <w:color w:val="000000"/>
                <w:sz w:val="28"/>
              </w:rPr>
              <w:br/>
            </w:r>
            <w:r>
              <w:rPr>
                <w:b w:val="1"/>
                <w:color w:val="000000"/>
                <w:sz w:val="28"/>
              </w:rPr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>
        <w:tc>
          <w:tcPr>
            <w:tcW w:type="dxa" w:w="10206"/>
            <w:gridSpan w:val="7"/>
          </w:tcPr>
          <w:p w14:paraId="08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 Общая информация</w:t>
            </w:r>
          </w:p>
          <w:p w14:paraId="0A00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0206"/>
            <w:gridSpan w:val="7"/>
          </w:tcPr>
          <w:p w14:paraId="0B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1.1. Регулирующий орган:</w:t>
            </w:r>
          </w:p>
        </w:tc>
      </w:tr>
      <w:tr>
        <w:tc>
          <w:tcPr>
            <w:tcW w:type="dxa" w:w="10206"/>
            <w:gridSpan w:val="7"/>
          </w:tcPr>
          <w:p w14:paraId="0C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правлени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 по координации работы жилищно-коммунального комплекса администрации муниципального образования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еверский</w:t>
            </w:r>
            <w:r>
              <w:rPr>
                <w:sz w:val="28"/>
              </w:rPr>
              <w:t xml:space="preserve"> муниципальный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7"/>
          </w:tcPr>
          <w:p w14:paraId="0D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7"/>
          </w:tcPr>
          <w:p w14:paraId="0E000000">
            <w:pPr>
              <w:pStyle w:val="Style_3"/>
              <w:widowControl w:val="1"/>
              <w:spacing w:after="0" w:before="0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1.2.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Вид и наименование проекта муниципального нормативного правового акта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:</w:t>
            </w:r>
          </w:p>
          <w:p w14:paraId="0F000000">
            <w:pPr>
              <w:pStyle w:val="Style_3"/>
              <w:widowControl w:val="1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роект постановления администрации муниципального образования Северский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район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Согласование создания места (площадки) накопления твердых коммунальных отходов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».</w:t>
            </w:r>
          </w:p>
        </w:tc>
      </w:tr>
      <w:tr>
        <w:tc>
          <w:tcPr>
            <w:tcW w:type="dxa" w:w="10206"/>
            <w:gridSpan w:val="7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</w:p>
          <w:p w14:paraId="11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1.3.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правового акта: </w:t>
            </w:r>
            <w:r>
              <w:rPr>
                <w:sz w:val="28"/>
              </w:rPr>
              <w:t xml:space="preserve">ноябрь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года</w:t>
            </w:r>
          </w:p>
        </w:tc>
      </w:tr>
      <w:tr>
        <w:trPr>
          <w:trHeight w:hRule="atLeast" w:val="156"/>
        </w:trPr>
        <w:tc>
          <w:tcPr>
            <w:tcW w:type="dxa" w:w="2239"/>
            <w:gridSpan w:val="4"/>
          </w:tcPr>
          <w:p w14:paraId="12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967"/>
            <w:gridSpan w:val="3"/>
          </w:tcPr>
          <w:p w14:paraId="13000000">
            <w:pPr>
              <w:widowControl w:val="1"/>
              <w:tabs>
                <w:tab w:leader="none" w:pos="5565" w:val="left"/>
              </w:tabs>
              <w:ind/>
              <w:jc w:val="both"/>
            </w:pPr>
          </w:p>
        </w:tc>
      </w:tr>
      <w:tr>
        <w:trPr>
          <w:trHeight w:hRule="atLeast" w:val="629"/>
        </w:trPr>
        <w:tc>
          <w:tcPr>
            <w:tcW w:type="dxa" w:w="10206"/>
            <w:gridSpan w:val="7"/>
          </w:tcPr>
          <w:p w14:paraId="1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1.4. Краткое описание проблемы, на решение которой направлено предлагаемое</w:t>
            </w:r>
            <w:r>
              <w:rPr>
                <w:sz w:val="28"/>
              </w:rPr>
              <w:t xml:space="preserve"> правовое регулирование:</w:t>
            </w:r>
          </w:p>
          <w:p w14:paraId="15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Невозможность 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предоставления муниципальной услуги «Согласование создания места (площадки) накопления твердых коммунальных отходов»</w:t>
            </w:r>
            <w:r>
              <w:rPr>
                <w:sz w:val="28"/>
              </w:rPr>
              <w:t>.</w:t>
            </w:r>
          </w:p>
          <w:p w14:paraId="16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1.5. Краткое описание целей предлаг</w:t>
            </w:r>
            <w:r>
              <w:rPr>
                <w:sz w:val="28"/>
              </w:rPr>
              <w:t>аемого правового регулирования:</w:t>
            </w:r>
          </w:p>
          <w:p w14:paraId="17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Цель предлагаемого правового регулирования – предоставление администрацией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8"/>
              </w:rPr>
              <w:t>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Согласование создания места (площадки) накопления твердых коммунальных отходов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»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и п</w:t>
            </w:r>
            <w:r>
              <w:rPr>
                <w:rFonts w:ascii="Times New Roman" w:hAnsi="Times New Roman"/>
                <w:sz w:val="28"/>
              </w:rPr>
              <w:t>остановлению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shd w:fill="FAF8F5" w:val="clear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 ( далее Постановление № 1498)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1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.6. Краткое описание содержания предлагаемого правового регулирования:</w:t>
            </w:r>
          </w:p>
          <w:p w14:paraId="19000000">
            <w:pPr>
              <w:widowControl w:val="1"/>
              <w:ind w:firstLine="746"/>
              <w:jc w:val="both"/>
              <w:outlineLvl w:val="0"/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</w:pP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 xml:space="preserve">В целях решения указанной проблемы рассматриваемым проектом </w:t>
            </w:r>
            <w:r>
              <w:rPr>
                <w:rFonts w:ascii="Times New Roman" w:hAnsi="Times New Roman"/>
                <w:sz w:val="28"/>
              </w:rPr>
              <w:t xml:space="preserve">МНПА </w:t>
            </w:r>
            <w:r>
              <w:rPr>
                <w:rFonts w:ascii="Times New Roman" w:hAnsi="Times New Roman"/>
                <w:sz w:val="28"/>
              </w:rPr>
              <w:t xml:space="preserve">предлагается </w:t>
            </w:r>
            <w:r>
              <w:rPr>
                <w:rFonts w:ascii="Times New Roman" w:hAnsi="Times New Roman"/>
                <w:sz w:val="28"/>
              </w:rPr>
              <w:t xml:space="preserve">утвердить </w:t>
            </w:r>
            <w:r>
              <w:rPr>
                <w:rFonts w:ascii="Times New Roman" w:hAnsi="Times New Roman"/>
                <w:sz w:val="28"/>
              </w:rPr>
              <w:t>административный регламент в соответстви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требованиями федерального законодательства,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а именно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федеральны</w:t>
            </w:r>
            <w:r>
              <w:rPr>
                <w:rFonts w:ascii="Times New Roman" w:hAnsi="Times New Roman"/>
                <w:sz w:val="28"/>
              </w:rPr>
              <w:t xml:space="preserve">ми </w:t>
            </w:r>
            <w:r>
              <w:rPr>
                <w:rFonts w:ascii="Times New Roman" w:hAnsi="Times New Roman"/>
                <w:sz w:val="28"/>
              </w:rPr>
              <w:t>закон</w:t>
            </w:r>
            <w:r>
              <w:rPr>
                <w:rFonts w:ascii="Times New Roman" w:hAnsi="Times New Roman"/>
                <w:sz w:val="28"/>
              </w:rPr>
              <w:t>ами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24 июня 1998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89-ФЗ «Об отходах производства и потребления», от 10 января 2002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7-ФЗ «Об охране окружающей среды»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от 27 июля 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услуг»,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 xml:space="preserve"> «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instrText>HYPERLINK "https://sevadm.ru/administratsiya/s/munits/s/unitsipalnye-pravovye-akty/pravovye-akty-mpa/e/136437"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Об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утверждении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Правил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обустройства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мест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площадок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накопления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твердых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коммунальных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отходов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>и ведения их реестра на территории сельских поселений муниципального образования Северский муниципальный район Краснодарского»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3"/>
                <w:sz w:val="28"/>
                <w:u w:color="000000" w:val="none"/>
              </w:rPr>
              <w:t xml:space="preserve"> от 10.08.2026 г. № 1294,</w:t>
            </w:r>
            <w:r>
              <w:rPr>
                <w:rFonts w:ascii="Times New Roman" w:hAnsi="Times New Roman"/>
                <w:sz w:val="28"/>
              </w:rPr>
              <w:t xml:space="preserve"> Постановление № 1498.</w:t>
            </w:r>
          </w:p>
          <w:p w14:paraId="1A000000">
            <w:pPr>
              <w:widowControl w:val="1"/>
              <w:ind w:firstLine="888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1.6.1. Степень регулирующего воздействия -  </w:t>
            </w:r>
            <w:r>
              <w:rPr>
                <w:sz w:val="28"/>
              </w:rPr>
              <w:t>высокая</w:t>
            </w:r>
            <w:r>
              <w:rPr>
                <w:sz w:val="28"/>
              </w:rPr>
              <w:t xml:space="preserve">.   </w:t>
            </w:r>
          </w:p>
          <w:p w14:paraId="1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</w:t>
            </w:r>
            <w:r>
              <w:rPr>
                <w:sz w:val="28"/>
              </w:rPr>
              <w:t xml:space="preserve">мической деятельности. </w:t>
            </w:r>
          </w:p>
          <w:p w14:paraId="1C000000">
            <w:pPr>
              <w:widowControl w:val="0"/>
              <w:spacing w:after="0" w:line="240" w:lineRule="auto"/>
              <w:ind w:firstLine="708"/>
              <w:jc w:val="both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дминистративный регламент устанавливает порядок и стандарт предоставления услуги </w:t>
            </w:r>
            <w:r>
              <w:rPr>
                <w:rFonts w:ascii="Times New Roman" w:hAnsi="Times New Roman"/>
                <w:sz w:val="28"/>
              </w:rPr>
              <w:t>«Согласование создания места (площадки) накопления твердых коммунальных отходов»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D000000">
            <w:pPr>
              <w:widowControl w:val="1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Услуга включает в себя следующие цели обращения (подуслуги):</w:t>
            </w:r>
          </w:p>
          <w:p w14:paraId="1E000000">
            <w:pPr>
              <w:widowControl w:val="0"/>
              <w:spacing w:after="0" w:line="24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1) </w:t>
            </w:r>
            <w:r>
              <w:rPr>
                <w:rFonts w:ascii="Times New Roman" w:hAnsi="Times New Roman"/>
                <w:sz w:val="28"/>
              </w:rPr>
              <w:t xml:space="preserve"> прием заявки и прилагаемых документов, принятие решения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об отказе в приеме заявки и документов и (или) информации, регистрация заявки и прилагаемых документов, передача принятых документов из МФЦ                                       в уполномоченный орган (в случае обращения за получением муниципальной услуги через МФЦ);</w:t>
            </w:r>
          </w:p>
          <w:p w14:paraId="1F000000">
            <w:pPr>
              <w:widowControl w:val="0"/>
              <w:spacing w:after="0" w:line="24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rFonts w:ascii="Times New Roman" w:hAnsi="Times New Roman"/>
                <w:sz w:val="28"/>
              </w:rPr>
              <w:t xml:space="preserve"> рассмотрение заявки и прилагаемых документов, направление межведомственных запросов (в случае необходимости), </w:t>
            </w:r>
            <w:r>
              <w:rPr>
                <w:rFonts w:ascii="Times New Roman" w:hAnsi="Times New Roman"/>
                <w:sz w:val="28"/>
              </w:rPr>
              <w:t xml:space="preserve">принятие решения о согласовании создания 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края, </w:t>
            </w:r>
            <w:r>
              <w:rPr>
                <w:rFonts w:ascii="Times New Roman" w:hAnsi="Times New Roman"/>
                <w:sz w:val="28"/>
              </w:rPr>
              <w:t>об исправлении допущенных опечаток и ошибок в выданных в результате предоставления муниципальной услуги документах,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      </w:r>
          </w:p>
          <w:p w14:paraId="20000000">
            <w:pPr>
              <w:widowControl w:val="0"/>
              <w:spacing w:after="0" w:line="240" w:lineRule="auto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3) 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передача результата предоставления муниципальной услуги в МФЦ              для выдачи заявителю (в случае обращения за получением муниципальной услуги через МФЦ), выдача результата предоставления муниципальной услуги, направление заявителю электронного документа, подписанного должностным лицом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ОМСУ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с использованием усиленной квалифицированной электронной подписи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должностного лица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Администрации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направленного в личный кабинет на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ЕПГУ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8"/>
              </w:rPr>
              <w:t>ли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ПГУ КК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либо на адрес электронной почты, указанной Заявителем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2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Услугу п</w:t>
            </w:r>
            <w:r>
              <w:rPr>
                <w:rFonts w:ascii="Times New Roman" w:hAnsi="Times New Roman"/>
                <w:sz w:val="28"/>
              </w:rPr>
              <w:t xml:space="preserve">редоставляет </w:t>
            </w:r>
            <w:r>
              <w:rPr>
                <w:rFonts w:ascii="Times New Roman" w:hAnsi="Times New Roman"/>
                <w:sz w:val="28"/>
              </w:rPr>
              <w:t xml:space="preserve">администрация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 xml:space="preserve">через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правлени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 по координации работы жилищно-коммунального комплекса</w:t>
            </w:r>
            <w:r>
              <w:rPr>
                <w:rFonts w:ascii="Times New Roman" w:hAnsi="Times New Roman"/>
                <w:sz w:val="28"/>
              </w:rPr>
              <w:t xml:space="preserve"> администрации муниципального образования Северский муниципальный район Краснодарского края.</w:t>
            </w:r>
          </w:p>
          <w:p w14:paraId="22000000">
            <w:pPr>
              <w:widowControl w:val="1"/>
              <w:ind w:firstLine="8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      </w:r>
          </w:p>
        </w:tc>
      </w:tr>
      <w:tr>
        <w:tc>
          <w:tcPr>
            <w:tcW w:type="dxa" w:w="10206"/>
            <w:gridSpan w:val="7"/>
          </w:tcPr>
          <w:p w14:paraId="23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19"/>
            <w:gridSpan w:val="2"/>
          </w:tcPr>
          <w:p w14:paraId="2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  <w:tc>
          <w:tcPr>
            <w:tcW w:type="dxa" w:w="9087"/>
            <w:gridSpan w:val="5"/>
            <w:tcBorders>
              <w:bottom w:color="000000" w:sz="1" w:val="single"/>
            </w:tcBorders>
          </w:tcPr>
          <w:p w14:paraId="25000000">
            <w:r>
              <w:rPr>
                <w:sz w:val="28"/>
              </w:rPr>
              <w:t>Белошапка Кристина Эдуардовна</w:t>
            </w:r>
          </w:p>
        </w:tc>
      </w:tr>
      <w:tr>
        <w:tc>
          <w:tcPr>
            <w:tcW w:type="dxa" w:w="1679"/>
            <w:gridSpan w:val="3"/>
          </w:tcPr>
          <w:p w14:paraId="26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Должность:</w:t>
            </w:r>
          </w:p>
        </w:tc>
        <w:tc>
          <w:tcPr>
            <w:tcW w:type="dxa" w:w="8527"/>
            <w:gridSpan w:val="4"/>
            <w:tcBorders>
              <w:bottom w:color="000000" w:sz="1" w:val="single"/>
            </w:tcBorders>
          </w:tcPr>
          <w:p w14:paraId="27000000">
            <w:pPr>
              <w:widowControl w:val="1"/>
              <w:ind/>
              <w:jc w:val="both"/>
            </w:pPr>
            <w:r>
              <w:rPr>
                <w:sz w:val="28"/>
              </w:rPr>
              <w:t>Начальник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управления </w:t>
            </w:r>
            <w:r>
              <w:rPr>
                <w:sz w:val="28"/>
              </w:rPr>
              <w:t>по координации работы жилищно-коммунального комплекса</w:t>
            </w:r>
          </w:p>
        </w:tc>
      </w:tr>
      <w:tr>
        <w:tc>
          <w:tcPr>
            <w:tcW w:type="dxa" w:w="839"/>
          </w:tcPr>
          <w:p w14:paraId="28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Тел:</w:t>
            </w:r>
          </w:p>
        </w:tc>
        <w:tc>
          <w:tcPr>
            <w:tcW w:type="dxa" w:w="2519"/>
            <w:gridSpan w:val="4"/>
          </w:tcPr>
          <w:p w14:paraId="29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(86166) </w:t>
            </w:r>
            <w:r>
              <w:rPr>
                <w:sz w:val="28"/>
              </w:rPr>
              <w:t>2-56-33</w:t>
            </w:r>
          </w:p>
        </w:tc>
        <w:tc>
          <w:tcPr>
            <w:tcW w:type="dxa" w:w="3499"/>
          </w:tcPr>
          <w:p w14:paraId="2A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Адрес электронной почты:</w:t>
            </w:r>
          </w:p>
        </w:tc>
        <w:tc>
          <w:tcPr>
            <w:tcW w:type="dxa" w:w="3349"/>
          </w:tcPr>
          <w:p w14:paraId="2B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jkh@sevadm.ru </w:t>
            </w:r>
          </w:p>
          <w:p w14:paraId="2C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2D000000">
            <w:pPr>
              <w:widowControl w:val="1"/>
              <w:ind/>
              <w:jc w:val="both"/>
              <w:rPr>
                <w:sz w:val="28"/>
              </w:rPr>
            </w:pPr>
          </w:p>
          <w:p w14:paraId="2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 Описание проблемы, на решение которой направлено предлагаемое правовое</w:t>
            </w:r>
            <w:r>
              <w:rPr>
                <w:sz w:val="28"/>
              </w:rPr>
              <w:t xml:space="preserve"> регулирование: </w:t>
            </w:r>
          </w:p>
          <w:p w14:paraId="2F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</w:p>
        </w:tc>
      </w:tr>
    </w:tbl>
    <w:p w14:paraId="30000000"/>
    <w:tbl>
      <w:tblPr>
        <w:tblStyle w:val="Style_2"/>
        <w:tblW w:type="auto" w:w="0"/>
        <w:tblInd w:type="dxa" w:w="108"/>
        <w:tblLayout w:type="fixed"/>
      </w:tblPr>
      <w:tblGrid>
        <w:gridCol w:w="1560"/>
        <w:gridCol w:w="708"/>
        <w:gridCol w:w="809"/>
        <w:gridCol w:w="42"/>
        <w:gridCol w:w="797"/>
        <w:gridCol w:w="337"/>
        <w:gridCol w:w="709"/>
        <w:gridCol w:w="74"/>
        <w:gridCol w:w="420"/>
        <w:gridCol w:w="498"/>
        <w:gridCol w:w="992"/>
        <w:gridCol w:w="189"/>
        <w:gridCol w:w="236"/>
        <w:gridCol w:w="464"/>
        <w:gridCol w:w="387"/>
        <w:gridCol w:w="425"/>
        <w:gridCol w:w="447"/>
        <w:gridCol w:w="1112"/>
      </w:tblGrid>
      <w:tr>
        <w:tc>
          <w:tcPr>
            <w:tcW w:type="dxa" w:w="10206"/>
            <w:gridSpan w:val="18"/>
          </w:tcPr>
          <w:p w14:paraId="3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t xml:space="preserve"> </w:t>
            </w:r>
            <w:r>
              <w:rPr>
                <w:sz w:val="28"/>
              </w:rPr>
              <w:t xml:space="preserve">Формулировка проблемы: </w:t>
            </w:r>
          </w:p>
          <w:p w14:paraId="32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Невозможность 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предоставления муниципальной услуги «Согласование создания места (площадки) накопления твердых коммунальных отходов»</w:t>
            </w:r>
            <w:r>
              <w:rPr>
                <w:sz w:val="28"/>
              </w:rPr>
              <w:t>.</w:t>
            </w:r>
            <w:r>
              <w:rPr>
                <w:color w:val="000000"/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33000000">
            <w:pPr>
              <w:widowControl w:val="1"/>
              <w:ind/>
              <w:jc w:val="both"/>
              <w:rPr>
                <w:sz w:val="28"/>
              </w:rPr>
            </w:pPr>
          </w:p>
          <w:p w14:paraId="34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 xml:space="preserve">2.2. Информация о возникновении, выявлении проблемы и мерах, принятых ранее для её решения, достигнутых результатах и затраченных ресурсах: </w:t>
            </w:r>
          </w:p>
          <w:p w14:paraId="3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Согласно пункту 2 статьи 8 Федерального закона от 24 июня 1998 г. № 89-ФЗ «Об отходах производства и потребления» к полномочиям органов местного самоуправления муниципальных районов в области обращения с твердыми коммунальными отходами относятся:</w:t>
            </w:r>
          </w:p>
          <w:p w14:paraId="36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и содержание мест (площадок) накопления твердых коммунальных отходов, за  исключением установленных законодательством Российской Федерации случаев, когда такая обязанность лежит на других лицах; </w:t>
            </w:r>
          </w:p>
          <w:p w14:paraId="3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схемы размещения мест (площадок) накопления твердых коммунальных отходов;</w:t>
            </w:r>
          </w:p>
          <w:p w14:paraId="3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Согласно пункту 1 части 1 статьи 6 </w:t>
            </w:r>
            <w:r>
              <w:rPr>
                <w:rFonts w:ascii="Times New Roman" w:hAnsi="Times New Roman"/>
                <w:sz w:val="28"/>
              </w:rPr>
              <w:t xml:space="preserve">Федерального закона </w:t>
            </w:r>
            <w:r>
              <w:rPr>
                <w:rFonts w:ascii="Times New Roman" w:hAnsi="Times New Roman"/>
                <w:sz w:val="28"/>
              </w:rPr>
              <w:t xml:space="preserve">от 27 июля </w:t>
            </w: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органы, предоставляющие муниципальные услуги, обязаны предоставлять муниципальные услуги в соответствии с административными регламентами;</w:t>
            </w:r>
          </w:p>
          <w:p w14:paraId="39000000">
            <w:pPr>
              <w:widowControl w:val="1"/>
              <w:ind w:firstLine="88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Постановление №1498.</w:t>
            </w:r>
          </w:p>
        </w:tc>
      </w:tr>
      <w:tr>
        <w:tc>
          <w:tcPr>
            <w:tcW w:type="dxa" w:w="10206"/>
            <w:gridSpan w:val="18"/>
          </w:tcPr>
          <w:p w14:paraId="3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  <w:p w14:paraId="3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Потенциальной группой участников общественных отношений, интересы </w:t>
            </w:r>
            <w:r>
              <w:rPr>
                <w:rFonts w:ascii="Times New Roman" w:hAnsi="Times New Roman"/>
                <w:color w:val="000000"/>
                <w:sz w:val="28"/>
              </w:rPr>
              <w:t>которых будут затронуты предлагаемым правовым регулированием, являются: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физическое лицо,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8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  <w:p w14:paraId="3C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ab/>
            </w:r>
            <w:r>
              <w:rPr>
                <w:sz w:val="28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</w:t>
            </w:r>
            <w:r>
              <w:rPr>
                <w:sz w:val="28"/>
              </w:rPr>
              <w:t>ром предлагаемого правового регулирования.</w:t>
            </w:r>
          </w:p>
        </w:tc>
      </w:tr>
      <w:tr>
        <w:tc>
          <w:tcPr>
            <w:tcW w:type="dxa" w:w="10206"/>
            <w:gridSpan w:val="18"/>
          </w:tcPr>
          <w:p w14:paraId="3D000000">
            <w:pPr>
              <w:pStyle w:val="Style_4"/>
              <w:widowControl w:val="1"/>
              <w:tabs>
                <w:tab w:leader="none" w:pos="645" w:val="left"/>
              </w:tabs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3E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c>
          <w:tcPr>
            <w:tcW w:type="dxa" w:w="10206"/>
            <w:gridSpan w:val="18"/>
          </w:tcPr>
          <w:p w14:paraId="3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Отсутствие у заявителя возможности подачи заявления в соответствии 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требованиями федерального законодательства.</w:t>
            </w:r>
          </w:p>
        </w:tc>
      </w:tr>
      <w:tr>
        <w:tc>
          <w:tcPr>
            <w:tcW w:type="dxa" w:w="10206"/>
            <w:gridSpan w:val="18"/>
          </w:tcPr>
          <w:p w14:paraId="40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41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10206"/>
            <w:gridSpan w:val="18"/>
          </w:tcPr>
          <w:p w14:paraId="4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Согласно пункту 2 статьи 8 Федерального закона от 24 июня 1998 г. № 89-ФЗ «Об отходах производства и потребления» к полномочиям органов местного самоуправления муниципальных районов в области обращения с твердыми коммунальными отходами относятся:</w:t>
            </w:r>
          </w:p>
          <w:p w14:paraId="4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и содержание мест (площадок) накопления твердых коммунальных отходов, за  исключением установленных законодательством Российской Федерации случаев, когда такая обязанность лежит на других лицах; </w:t>
            </w:r>
          </w:p>
          <w:p w14:paraId="4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схемы размещения мест (площадок) накопления твердых коммунальных отходов;</w:t>
            </w:r>
          </w:p>
          <w:p w14:paraId="4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Согласно пункту 1 части 1 статьи 6 </w:t>
            </w:r>
            <w:r>
              <w:rPr>
                <w:rFonts w:ascii="Times New Roman" w:hAnsi="Times New Roman"/>
                <w:sz w:val="28"/>
              </w:rPr>
              <w:t xml:space="preserve">Федерального закона </w:t>
            </w:r>
            <w:r>
              <w:rPr>
                <w:rFonts w:ascii="Times New Roman" w:hAnsi="Times New Roman"/>
                <w:sz w:val="28"/>
              </w:rPr>
              <w:t xml:space="preserve">от 27 июля </w:t>
            </w: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органы, предоставляющие муниципальные услуги, обязаны предоставлять муниципальные услуги в соответствии с административными регламентами;</w:t>
            </w:r>
          </w:p>
          <w:p w14:paraId="46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Постановление №1498.</w:t>
            </w:r>
          </w:p>
        </w:tc>
      </w:tr>
      <w:tr>
        <w:tc>
          <w:tcPr>
            <w:tcW w:type="dxa" w:w="10206"/>
            <w:gridSpan w:val="18"/>
          </w:tcPr>
          <w:p w14:paraId="47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48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rPr>
                <w:sz w:val="28"/>
              </w:rPr>
              <w:t xml:space="preserve">Северский </w:t>
            </w:r>
            <w:r>
              <w:rPr>
                <w:sz w:val="28"/>
              </w:rPr>
              <w:t xml:space="preserve">муниципальный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:</w:t>
            </w:r>
          </w:p>
        </w:tc>
      </w:tr>
      <w:tr>
        <w:tc>
          <w:tcPr>
            <w:tcW w:type="dxa" w:w="10206"/>
            <w:gridSpan w:val="18"/>
          </w:tcPr>
          <w:p w14:paraId="49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М</w:t>
            </w:r>
            <w:r>
              <w:rPr>
                <w:sz w:val="28"/>
              </w:rPr>
              <w:t>униципальные правовые акты по вопросам, связанным с утв</w:t>
            </w:r>
            <w:r>
              <w:rPr>
                <w:sz w:val="28"/>
              </w:rPr>
              <w:t xml:space="preserve">ерждением изменений мероприятий </w:t>
            </w:r>
            <w:r>
              <w:rPr>
                <w:sz w:val="28"/>
              </w:rPr>
              <w:t xml:space="preserve">и необходимостью внесения изменений, издают в пределах своей компетенции органы </w:t>
            </w:r>
            <w:r>
              <w:rPr>
                <w:sz w:val="28"/>
              </w:rPr>
              <w:t>местного самоуправления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4A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4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2.7. Опыт решения аналогичных проблем в других субъектах Российской Федерации, муницип</w:t>
            </w:r>
            <w:r>
              <w:rPr>
                <w:sz w:val="28"/>
              </w:rPr>
              <w:t>альных образованиях Краснодарского края, иностранных государствах:</w:t>
            </w:r>
          </w:p>
          <w:p w14:paraId="4C000000">
            <w:pPr>
              <w:widowControl w:val="1"/>
              <w:ind w:firstLine="993" w:left="-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 xml:space="preserve">Регулирующим органом в ходе разработки проекта был изучен опыт решения проблемы в </w:t>
            </w:r>
            <w:r>
              <w:rPr>
                <w:rFonts w:ascii="Times New Roman" w:hAnsi="Times New Roman"/>
                <w:sz w:val="28"/>
              </w:rPr>
              <w:t>других муниципальных образованиях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</w:t>
            </w:r>
            <w:r>
              <w:rPr>
                <w:rFonts w:ascii="Times New Roman" w:hAnsi="Times New Roman"/>
                <w:sz w:val="28"/>
              </w:rPr>
              <w:t>анная проблема решается аналогичным образом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rPr>
          <w:trHeight w:hRule="atLeast" w:val="102"/>
        </w:trPr>
        <w:tc>
          <w:tcPr>
            <w:tcW w:type="dxa" w:w="10206"/>
            <w:gridSpan w:val="18"/>
          </w:tcPr>
          <w:p/>
        </w:tc>
      </w:tr>
      <w:tr>
        <w:tc>
          <w:tcPr>
            <w:tcW w:type="dxa" w:w="10206"/>
            <w:gridSpan w:val="18"/>
          </w:tcPr>
          <w:p w14:paraId="4D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2.8. Источники данных:</w:t>
            </w:r>
          </w:p>
        </w:tc>
      </w:tr>
      <w:tr>
        <w:tc>
          <w:tcPr>
            <w:tcW w:type="dxa" w:w="10206"/>
            <w:gridSpan w:val="18"/>
          </w:tcPr>
          <w:p w14:paraId="4E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Информационно-правовая система Консультант Плюс, интернет</w:t>
            </w:r>
            <w:r>
              <w:rPr>
                <w:sz w:val="28"/>
              </w:rPr>
              <w:t>,</w:t>
            </w:r>
          </w:p>
        </w:tc>
      </w:tr>
      <w:tr>
        <w:tc>
          <w:tcPr>
            <w:tcW w:type="dxa" w:w="10206"/>
            <w:gridSpan w:val="18"/>
          </w:tcPr>
          <w:p w14:paraId="4F000000">
            <w:pPr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50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2.9. Иная информация о проблеме:</w:t>
            </w:r>
          </w:p>
        </w:tc>
      </w:tr>
      <w:tr>
        <w:tc>
          <w:tcPr>
            <w:tcW w:type="dxa" w:w="10206"/>
            <w:gridSpan w:val="18"/>
          </w:tcPr>
          <w:p w14:paraId="51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>тсутствует</w:t>
            </w:r>
          </w:p>
        </w:tc>
      </w:tr>
      <w:tr>
        <w:tc>
          <w:tcPr>
            <w:tcW w:type="dxa" w:w="10206"/>
            <w:gridSpan w:val="18"/>
          </w:tcPr>
          <w:p/>
        </w:tc>
      </w:tr>
      <w:tr>
        <w:tc>
          <w:tcPr>
            <w:tcW w:type="dxa" w:w="10206"/>
            <w:gridSpan w:val="18"/>
          </w:tcPr>
          <w:p w14:paraId="52000000">
            <w:pPr>
              <w:widowControl w:val="1"/>
              <w:ind w:firstLine="888"/>
              <w:jc w:val="both"/>
            </w:pPr>
            <w:bookmarkStart w:id="1" w:name="sub_10003"/>
            <w:r>
              <w:rPr>
                <w:sz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1"/>
          </w:p>
        </w:tc>
      </w:tr>
      <w:tr>
        <w:tc>
          <w:tcPr>
            <w:tcW w:type="dxa" w:w="10206"/>
            <w:gridSpan w:val="18"/>
          </w:tcPr>
          <w:p w14:paraId="53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3.1. Цели предлагаемого правового регулирования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5000000">
            <w:pPr>
              <w:widowControl w:val="1"/>
              <w:ind/>
              <w:jc w:val="center"/>
              <w:rPr>
                <w:sz w:val="22"/>
              </w:rPr>
            </w:pPr>
            <w:bookmarkStart w:id="2" w:name="sub_100032"/>
            <w:r>
              <w:rPr>
                <w:sz w:val="22"/>
              </w:rPr>
              <w:t>3.2. Сроки достижения целей предлагаемого правового регулирования</w:t>
            </w:r>
            <w:bookmarkEnd w:id="2"/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7000000">
            <w:pPr>
              <w:widowControl w:val="1"/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 предлагаемого правового регулирования – предоставление администрацией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4"/>
              </w:rPr>
              <w:t>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Согласование создания места (площадки) накопления твердых коммунальных отходов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и п</w:t>
            </w:r>
            <w:r>
              <w:rPr>
                <w:rFonts w:ascii="Times New Roman" w:hAnsi="Times New Roman"/>
                <w:sz w:val="24"/>
              </w:rPr>
              <w:t>остановлению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8F5" w:val="clear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постановления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Единовременно</w:t>
            </w:r>
          </w:p>
        </w:tc>
      </w:tr>
      <w:tr>
        <w:tc>
          <w:tcPr>
            <w:tcW w:type="dxa" w:w="10206"/>
            <w:gridSpan w:val="18"/>
          </w:tcPr>
          <w:p w14:paraId="5A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5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5C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указанных целей</w:t>
            </w:r>
            <w:r>
              <w:rPr>
                <w:sz w:val="28"/>
              </w:rPr>
              <w:t>:</w:t>
            </w:r>
          </w:p>
          <w:p w14:paraId="5D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Федеральный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закон</w:t>
            </w: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от 24 июня 1998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№ 89-ФЗ «Об отходах производства и потребления»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;</w:t>
            </w:r>
          </w:p>
          <w:p w14:paraId="5E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Федеральный закон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от 10 января 2002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№ 7-ФЗ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«Об охране окружающей среды»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;</w:t>
            </w:r>
          </w:p>
          <w:p w14:paraId="5F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Федеральный закон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от 27 июля 2010 г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.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«Об организации предоставления государ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ственных и муниципальных услуг»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;</w:t>
            </w:r>
          </w:p>
          <w:p w14:paraId="60000000">
            <w:pPr>
              <w:widowControl w:val="1"/>
              <w:spacing w:after="0" w:line="240" w:lineRule="auto"/>
              <w:ind w:firstLine="567"/>
              <w:jc w:val="both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остановление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shd w:fill="FAF8F5" w:val="clear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район»;</w:t>
            </w:r>
          </w:p>
          <w:p w14:paraId="61000000">
            <w:pPr>
              <w:widowControl w:val="1"/>
              <w:ind w:firstLine="6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Устав муниципального образования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еверский</w:t>
            </w:r>
            <w:r>
              <w:rPr>
                <w:sz w:val="28"/>
              </w:rPr>
              <w:t xml:space="preserve"> муниципальный </w:t>
            </w:r>
            <w:r>
              <w:rPr>
                <w:sz w:val="28"/>
              </w:rPr>
              <w:t xml:space="preserve">район </w:t>
            </w:r>
            <w:r>
              <w:rPr>
                <w:sz w:val="28"/>
              </w:rPr>
              <w:t>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18"/>
          </w:tcPr>
          <w:p w14:paraId="62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3.5. Цели предлагаемого правового регулирования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4000000">
            <w:pPr>
              <w:widowControl w:val="1"/>
              <w:ind/>
              <w:jc w:val="center"/>
              <w:rPr>
                <w:sz w:val="22"/>
              </w:rPr>
            </w:pPr>
            <w:bookmarkStart w:id="3" w:name="sub_100036"/>
            <w:r>
              <w:rPr>
                <w:sz w:val="22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type="dxa" w:w="127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3.7. Единица измерения индикаторов</w:t>
            </w:r>
          </w:p>
        </w:tc>
        <w:tc>
          <w:tcPr>
            <w:tcW w:type="dxa" w:w="198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3.8. Целевые значения индикаторов по годам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 предлагаемого правового регулирования – предоставление администрацией муниципального образования Северский муниципальный район Краснодарского края </w:t>
            </w:r>
            <w:r>
              <w:rPr>
                <w:rFonts w:ascii="Times New Roman" w:hAnsi="Times New Roman"/>
                <w:sz w:val="24"/>
              </w:rPr>
              <w:t>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Согласование создания места (площадки) накопления твердых коммунальных отходов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и п</w:t>
            </w:r>
            <w:r>
              <w:rPr>
                <w:rFonts w:ascii="Times New Roman" w:hAnsi="Times New Roman"/>
                <w:sz w:val="24"/>
              </w:rPr>
              <w:t>остановлению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AF8F5" w:val="clear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</w:t>
            </w:r>
          </w:p>
        </w:tc>
        <w:tc>
          <w:tcPr>
            <w:tcW w:type="dxa" w:w="3827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8000000">
            <w:r>
              <w:t>При обращении заявителя за согласованием создания места (площадки) накопления ТКО:</w:t>
            </w:r>
          </w:p>
          <w:p w14:paraId="69000000">
            <w:r>
              <w:t xml:space="preserve">1) решение о согласовании создания места (площадки) накопления ТКО; </w:t>
            </w:r>
          </w:p>
          <w:p w14:paraId="6A000000">
            <w:r>
              <w:t>2) решение об отказе в согласовании создания места (площадки) накопления ТКО.</w:t>
            </w:r>
          </w:p>
        </w:tc>
        <w:tc>
          <w:tcPr>
            <w:tcW w:type="dxa" w:w="127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B000000">
            <w:pPr>
              <w:widowControl w:val="1"/>
              <w:ind/>
              <w:jc w:val="center"/>
            </w:pPr>
            <w:r>
              <w:rPr>
                <w:sz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</w:rPr>
              <w:t>Северский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муниципальный </w:t>
            </w:r>
            <w:r>
              <w:rPr>
                <w:sz w:val="22"/>
              </w:rPr>
              <w:t>район</w:t>
            </w:r>
            <w:r>
              <w:rPr>
                <w:sz w:val="22"/>
              </w:rPr>
              <w:t xml:space="preserve"> Краснодарского края</w:t>
            </w:r>
          </w:p>
        </w:tc>
        <w:tc>
          <w:tcPr>
            <w:tcW w:type="dxa" w:w="198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C000000">
            <w:r>
              <w:t>2026 г. (далее – ежегодно) – 100% (без учета отказов в предоставлении муниципальной услуги)</w:t>
            </w:r>
          </w:p>
        </w:tc>
      </w:tr>
      <w:tr>
        <w:tc>
          <w:tcPr>
            <w:tcW w:type="dxa" w:w="10206"/>
            <w:gridSpan w:val="18"/>
          </w:tcPr>
          <w:p w14:paraId="6D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6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3.9. Методы расчёта индикаторов достижения целей предлагаемого правового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регулирования, источники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информации для расчётов</w:t>
            </w:r>
            <w:r>
              <w:rPr>
                <w:sz w:val="28"/>
              </w:rPr>
              <w:t>:</w:t>
            </w:r>
          </w:p>
          <w:p w14:paraId="6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(Количество выданных решений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/количество поступивших заявлений) </w:t>
            </w:r>
            <w:r>
              <w:rPr>
                <w:rFonts w:ascii="Times New Roman" w:hAnsi="Times New Roman"/>
                <w:sz w:val="28"/>
              </w:rPr>
              <w:t>x</w:t>
            </w:r>
            <w:r>
              <w:rPr>
                <w:rFonts w:ascii="Times New Roman" w:hAnsi="Times New Roman"/>
                <w:sz w:val="28"/>
              </w:rPr>
              <w:t>100%</w:t>
            </w:r>
          </w:p>
          <w:p w14:paraId="70000000">
            <w:pPr>
              <w:widowControl w:val="1"/>
              <w:ind w:firstLine="462"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7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3.10. Оценка затрат на проведение мониторинга достижения целей предлагаемого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регулирования:</w:t>
            </w:r>
          </w:p>
          <w:p w14:paraId="7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Единовременные затраты</w:t>
            </w:r>
            <w:r>
              <w:rPr>
                <w:sz w:val="28"/>
              </w:rPr>
              <w:t xml:space="preserve"> на проведение мониторинга отсутствуют.</w:t>
            </w:r>
          </w:p>
        </w:tc>
      </w:tr>
      <w:tr>
        <w:tc>
          <w:tcPr>
            <w:tcW w:type="dxa" w:w="10206"/>
            <w:gridSpan w:val="18"/>
          </w:tcPr>
          <w:p w14:paraId="73000000">
            <w:pPr>
              <w:widowControl w:val="1"/>
              <w:ind/>
              <w:jc w:val="both"/>
              <w:rPr>
                <w:sz w:val="28"/>
              </w:rPr>
            </w:pPr>
          </w:p>
          <w:p w14:paraId="74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10206"/>
            <w:gridSpan w:val="18"/>
          </w:tcPr>
          <w:p w14:paraId="75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545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6000000">
            <w:pPr>
              <w:widowControl w:val="1"/>
              <w:ind/>
              <w:jc w:val="center"/>
              <w:rPr>
                <w:sz w:val="22"/>
              </w:rPr>
            </w:pPr>
            <w:bookmarkStart w:id="4" w:name="sub_100041"/>
            <w:r>
              <w:rPr>
                <w:sz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4"/>
          </w:p>
        </w:tc>
        <w:tc>
          <w:tcPr>
            <w:tcW w:type="dxa" w:w="2379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4.2. Количество участников группы</w:t>
            </w:r>
          </w:p>
        </w:tc>
        <w:tc>
          <w:tcPr>
            <w:tcW w:type="dxa" w:w="237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4.3. Источники данных</w:t>
            </w:r>
          </w:p>
        </w:tc>
      </w:tr>
      <w:tr>
        <w:tc>
          <w:tcPr>
            <w:tcW w:type="dxa" w:w="545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9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Потенциальной группой участников общественных отношений, интересы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будут затронуты предлагаемым правовым регулированием, являются: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физическое лицо,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</w:tc>
        <w:tc>
          <w:tcPr>
            <w:tcW w:type="dxa" w:w="2379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A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</w:t>
            </w:r>
            <w:r>
              <w:rPr>
                <w:sz w:val="22"/>
              </w:rPr>
              <w:t xml:space="preserve">е </w:t>
            </w:r>
            <w:r>
              <w:rPr>
                <w:sz w:val="22"/>
              </w:rPr>
              <w:t>ограничено</w:t>
            </w:r>
          </w:p>
          <w:p w14:paraId="7B000000">
            <w:pPr>
              <w:widowControl w:val="1"/>
              <w:ind/>
              <w:jc w:val="both"/>
              <w:rPr>
                <w:sz w:val="22"/>
              </w:rPr>
            </w:pPr>
          </w:p>
        </w:tc>
        <w:tc>
          <w:tcPr>
            <w:tcW w:type="dxa" w:w="237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C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7D000000">
            <w:pPr>
              <w:widowControl w:val="1"/>
              <w:ind/>
              <w:jc w:val="both"/>
              <w:rPr>
                <w:sz w:val="28"/>
              </w:rPr>
            </w:pPr>
          </w:p>
          <w:p w14:paraId="7E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7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rPr>
                <w:sz w:val="28"/>
              </w:rPr>
              <w:t>Северский</w:t>
            </w:r>
            <w:r>
              <w:rPr>
                <w:sz w:val="28"/>
              </w:rPr>
              <w:t xml:space="preserve"> муниципальный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, а также порядка их реализации в связи с введением предлагаемого правового регулирования:</w:t>
            </w:r>
          </w:p>
          <w:p w14:paraId="80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1000000">
            <w:pPr>
              <w:widowControl w:val="1"/>
              <w:ind/>
              <w:jc w:val="center"/>
              <w:rPr>
                <w:sz w:val="22"/>
              </w:rPr>
            </w:pPr>
            <w:bookmarkStart w:id="5" w:name="sub_100051"/>
            <w:r>
              <w:rPr>
                <w:sz w:val="22"/>
              </w:rPr>
              <w:t>5.1. Наименование функции (полномочия, обязанности или права)</w:t>
            </w:r>
            <w:bookmarkEnd w:id="5"/>
          </w:p>
          <w:p w14:paraId="82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851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5.2. Характер функции (новая / изменяемая / отменяемая)</w:t>
            </w:r>
          </w:p>
          <w:p w14:paraId="8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843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5.3. Предполагаемый порядок реализации</w:t>
            </w:r>
          </w:p>
        </w:tc>
        <w:tc>
          <w:tcPr>
            <w:tcW w:type="dxa" w:w="3685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87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5.5. Оценка изменения потребностей в других ресурсах</w:t>
            </w:r>
          </w:p>
          <w:p w14:paraId="89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2268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A000000">
            <w:pPr>
              <w:rPr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Предоставление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Согласование создания места (площадки) накопления твердых коммунальных отходов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на территории сельских поселений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»</w:t>
            </w:r>
          </w:p>
        </w:tc>
        <w:tc>
          <w:tcPr>
            <w:tcW w:type="dxa" w:w="851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новая</w:t>
            </w:r>
          </w:p>
        </w:tc>
        <w:tc>
          <w:tcPr>
            <w:tcW w:type="dxa" w:w="1843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согласно утвержденному </w:t>
            </w:r>
            <w:r>
              <w:rPr>
                <w:sz w:val="22"/>
              </w:rPr>
              <w:t>постановлению</w:t>
            </w:r>
          </w:p>
        </w:tc>
        <w:tc>
          <w:tcPr>
            <w:tcW w:type="dxa" w:w="3685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D000000">
            <w:pPr>
              <w:widowControl w:val="0"/>
              <w:tabs>
                <w:tab w:leader="none" w:pos="36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1) </w:t>
            </w:r>
            <w:r>
              <w:rPr>
                <w:rFonts w:ascii="Times New Roman" w:hAnsi="Times New Roman"/>
                <w:sz w:val="24"/>
              </w:rPr>
              <w:t xml:space="preserve">прием заявки и прилагаемых документов, принятие решения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 отказе в приеме заявки и документов и (или) информации;</w:t>
            </w:r>
          </w:p>
          <w:p w14:paraId="8E000000">
            <w:pPr>
              <w:widowControl w:val="0"/>
              <w:tabs>
                <w:tab w:leader="none" w:pos="36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2) </w:t>
            </w:r>
            <w:r>
              <w:rPr>
                <w:rFonts w:ascii="Times New Roman" w:hAnsi="Times New Roman"/>
                <w:sz w:val="24"/>
              </w:rPr>
              <w:t xml:space="preserve"> рассмотрение заявки и прилагаемых документов, направление межведомственных запросов (в случае необходимости), </w:t>
            </w:r>
            <w:r>
              <w:rPr>
                <w:rFonts w:ascii="Times New Roman" w:hAnsi="Times New Roman"/>
                <w:sz w:val="24"/>
              </w:rPr>
              <w:t>принятие решения о согласовании создания места (площадки) накопления твердых коммунальных отходов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8F000000">
            <w:pPr>
              <w:widowControl w:val="0"/>
              <w:tabs>
                <w:tab w:leader="none" w:pos="60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3)</w:t>
            </w:r>
            <w:r>
              <w:rPr>
                <w:rFonts w:ascii="Times New Roman" w:hAnsi="Times New Roman"/>
                <w:sz w:val="24"/>
              </w:rPr>
              <w:t>выдача результата предоставления муниципальной услуги</w:t>
            </w:r>
          </w:p>
          <w:p w14:paraId="90000000">
            <w:pPr>
              <w:widowControl w:val="0"/>
              <w:tabs>
                <w:tab w:leader="none" w:pos="600" w:val="left"/>
                <w:tab w:leader="none" w:pos="993" w:val="left"/>
              </w:tabs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  <w:p w14:paraId="91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отсутствует</w:t>
            </w:r>
          </w:p>
        </w:tc>
      </w:tr>
      <w:tr>
        <w:tc>
          <w:tcPr>
            <w:tcW w:type="dxa" w:w="10206"/>
            <w:gridSpan w:val="18"/>
          </w:tcPr>
          <w:p w14:paraId="93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94000000">
            <w:pPr>
              <w:widowControl w:val="1"/>
              <w:ind w:firstLine="888"/>
              <w:jc w:val="both"/>
              <w:rPr>
                <w:sz w:val="28"/>
              </w:rPr>
            </w:pPr>
            <w:bookmarkStart w:id="6" w:name="sub_10006"/>
            <w:r>
              <w:rPr>
                <w:sz w:val="28"/>
              </w:rPr>
              <w:t xml:space="preserve">6. Оценка дополнительных расходов (доходов) местного бюджета (бюджета муниципального образования </w:t>
            </w:r>
            <w:r>
              <w:rPr>
                <w:sz w:val="28"/>
              </w:rPr>
              <w:t>Северский район</w:t>
            </w:r>
            <w:r>
              <w:rPr>
                <w:sz w:val="28"/>
              </w:rPr>
              <w:t>), связанных с введением предлагаемого правового регулирования:</w:t>
            </w:r>
            <w:bookmarkEnd w:id="6"/>
          </w:p>
          <w:p w14:paraId="95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5_ch"/>
                <w:color w:val="106BBE"/>
                <w:sz w:val="22"/>
              </w:rPr>
              <w:fldChar w:fldCharType="begin"/>
            </w:r>
            <w:r>
              <w:rPr>
                <w:rStyle w:val="Style_5_ch"/>
                <w:color w:val="106BBE"/>
                <w:sz w:val="22"/>
              </w:rPr>
              <w:instrText>HYPERLINK \l "sub_100051"</w:instrText>
            </w:r>
            <w:r>
              <w:rPr>
                <w:rStyle w:val="Style_5_ch"/>
                <w:color w:val="106BBE"/>
                <w:sz w:val="22"/>
              </w:rPr>
              <w:fldChar w:fldCharType="separate"/>
            </w:r>
            <w:r>
              <w:rPr>
                <w:rStyle w:val="Style_5_ch"/>
                <w:color w:val="106BBE"/>
                <w:sz w:val="22"/>
              </w:rPr>
              <w:t>подпунктом 5.1 пункта 5</w:t>
            </w:r>
            <w:r>
              <w:rPr>
                <w:rStyle w:val="Style_5_ch"/>
                <w:color w:val="106BBE"/>
                <w:sz w:val="22"/>
              </w:rPr>
              <w:fldChar w:fldCharType="end"/>
            </w:r>
            <w:r>
              <w:rPr>
                <w:sz w:val="22"/>
              </w:rPr>
              <w:t xml:space="preserve"> настоящего сводного отчёта)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sz w:val="22"/>
              </w:rPr>
              <w:t>Северский район</w:t>
            </w:r>
            <w:r>
              <w:rPr>
                <w:sz w:val="22"/>
              </w:rPr>
              <w:t>)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6.3. Количественная оценка расходов и возможных поступлен</w:t>
            </w:r>
            <w:r>
              <w:rPr>
                <w:sz w:val="22"/>
              </w:rPr>
              <w:t>ий, млн рублей</w:t>
            </w:r>
          </w:p>
        </w:tc>
      </w:tr>
      <w:tr>
        <w:trPr/>
        <w:tc>
          <w:tcPr>
            <w:tcW w:type="dxa" w:w="10206"/>
            <w:gridSpan w:val="1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z w:val="24"/>
              </w:rPr>
              <w:t>правлени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по координации работы жилищно-коммунального комплекса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A000000">
            <w:pPr>
              <w:rPr>
                <w:sz w:val="22"/>
              </w:rPr>
            </w:pPr>
            <w:r>
              <w:rPr>
                <w:sz w:val="22"/>
              </w:rPr>
              <w:t>1. Функция (полномочие, обязанность или право)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B000000">
            <w:pPr>
              <w:rPr>
                <w:sz w:val="22"/>
              </w:rPr>
            </w:pPr>
            <w:r>
              <w:rPr>
                <w:sz w:val="22"/>
              </w:rPr>
              <w:t>Единовременные расходы в ____ 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C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D000000">
            <w:pPr>
              <w:rPr>
                <w:sz w:val="22"/>
              </w:rPr>
            </w:pPr>
            <w:r>
              <w:rPr>
                <w:sz w:val="22"/>
              </w:rPr>
              <w:t>Итого единовременные расходы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E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F000000">
            <w:pPr>
              <w:rPr>
                <w:sz w:val="22"/>
              </w:rPr>
            </w:pPr>
            <w:r>
              <w:rPr>
                <w:sz w:val="22"/>
              </w:rPr>
              <w:t>Итого периодические расходы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0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5954"/>
            <w:gridSpan w:val="1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1000000">
            <w:pPr>
              <w:rPr>
                <w:sz w:val="22"/>
              </w:rPr>
            </w:pPr>
            <w:r>
              <w:rPr>
                <w:sz w:val="22"/>
              </w:rPr>
              <w:t>Итого возможные доходы за период ____ гг.:</w:t>
            </w:r>
            <w:r>
              <w:rPr>
                <w:sz w:val="22"/>
              </w:rPr>
              <w:t xml:space="preserve"> нет</w:t>
            </w:r>
          </w:p>
        </w:tc>
        <w:tc>
          <w:tcPr>
            <w:tcW w:type="dxa" w:w="425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200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</w:tr>
      <w:tr>
        <w:tc>
          <w:tcPr>
            <w:tcW w:type="dxa" w:w="10206"/>
            <w:gridSpan w:val="18"/>
          </w:tcPr>
          <w:p w14:paraId="A3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A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rPr>
                <w:sz w:val="28"/>
              </w:rPr>
              <w:t>Северский район</w:t>
            </w:r>
            <w:r>
              <w:rPr>
                <w:sz w:val="28"/>
              </w:rPr>
              <w:t>), возникающих в связи с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введением предлагаемого правового регулирования:</w:t>
            </w:r>
          </w:p>
          <w:p w14:paraId="A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  <w:p w14:paraId="A6000000">
            <w:pPr>
              <w:widowControl w:val="1"/>
              <w:ind w:firstLine="462"/>
              <w:jc w:val="both"/>
              <w:rPr>
                <w:sz w:val="28"/>
              </w:rPr>
            </w:pPr>
          </w:p>
          <w:p w14:paraId="A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z w:val="28"/>
              </w:rPr>
              <w:t>5. Источники данных:</w:t>
            </w:r>
          </w:p>
          <w:p w14:paraId="A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</w:tc>
      </w:tr>
      <w:tr>
        <w:tc>
          <w:tcPr>
            <w:tcW w:type="dxa" w:w="10206"/>
            <w:gridSpan w:val="18"/>
          </w:tcPr>
          <w:p w14:paraId="A9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10206"/>
            <w:gridSpan w:val="18"/>
          </w:tcPr>
          <w:p w14:paraId="A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Изменение обязанностей (ограничений) потенциальных адресатов предлагаемого правового регу</w:t>
            </w:r>
            <w:r>
              <w:rPr>
                <w:sz w:val="28"/>
              </w:rPr>
              <w:t>лирования и связанные с ними дополнительные расходы (доходы):</w:t>
            </w:r>
          </w:p>
          <w:p w14:paraId="AB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sz w:val="22"/>
              </w:rPr>
              <w:t>подпунктом 4.1 пункта 4</w:t>
            </w:r>
            <w:r>
              <w:rPr>
                <w:sz w:val="22"/>
              </w:rPr>
              <w:t xml:space="preserve"> настоящего сводного отчёта)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D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2693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7.3. Описание расходов и возможных доходов, связанных с введением предлагаемог</w:t>
            </w:r>
            <w:r>
              <w:rPr>
                <w:sz w:val="22"/>
              </w:rPr>
              <w:t>о правового регулирования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7.4. Количественная оценка, млн рублей</w:t>
            </w:r>
          </w:p>
        </w:tc>
      </w:tr>
      <w:tr>
        <w:tc>
          <w:tcPr>
            <w:tcW w:type="dxa" w:w="311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0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лица,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</w:tc>
        <w:tc>
          <w:tcPr>
            <w:tcW w:type="dxa" w:w="283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1000000">
            <w:pPr>
              <w:widowControl w:val="1"/>
              <w:tabs>
                <w:tab w:leader="none" w:pos="142" w:val="left"/>
              </w:tabs>
              <w:ind/>
              <w:jc w:val="both"/>
            </w:pPr>
            <w:r>
              <w:t>Для согласования создания места (площадки) накопления</w:t>
            </w:r>
          </w:p>
          <w:p w14:paraId="B2000000">
            <w:r>
              <w:t>твердых коммунальных</w:t>
            </w:r>
          </w:p>
          <w:p w14:paraId="B3000000">
            <w:r>
              <w:t>отходов заявители</w:t>
            </w:r>
          </w:p>
          <w:p w14:paraId="B4000000">
            <w:r>
              <w:t xml:space="preserve">предоставляют заявление по </w:t>
            </w:r>
            <w:r>
              <w:t>установленной форме и докум</w:t>
            </w:r>
            <w:r>
              <w:t>енты согласно перечню,</w:t>
            </w:r>
            <w:r>
              <w:t>установленному приложением административного</w:t>
            </w:r>
          </w:p>
          <w:p w14:paraId="B5000000">
            <w:pPr>
              <w:widowControl w:val="1"/>
              <w:tabs>
                <w:tab w:leader="none" w:pos="142" w:val="left"/>
              </w:tabs>
              <w:ind/>
              <w:jc w:val="both"/>
            </w:pPr>
            <w:r>
              <w:t>регламента</w:t>
            </w:r>
          </w:p>
        </w:tc>
        <w:tc>
          <w:tcPr>
            <w:tcW w:type="dxa" w:w="2693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6000000">
            <w:r>
              <w:t>Расходы на предоставление заявления и прилагаемых документов.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7000000">
            <w:pPr>
              <w:rPr>
                <w:sz w:val="28"/>
              </w:rPr>
            </w:pPr>
            <w:r>
              <w:t xml:space="preserve">В расчете на 1 заявителя стоимость требования составляет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1 609,08 руб</w:t>
            </w:r>
          </w:p>
        </w:tc>
      </w:tr>
      <w:tr>
        <w:trPr/>
        <w:tc>
          <w:tcPr>
            <w:tcW w:type="dxa" w:w="10206"/>
            <w:gridSpan w:val="18"/>
          </w:tcPr>
          <w:p w14:paraId="B8000000">
            <w:pPr>
              <w:rPr>
                <w:sz w:val="28"/>
              </w:rPr>
            </w:pPr>
            <w:r>
              <w:rPr>
                <w:sz w:val="28"/>
              </w:rPr>
      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      </w:r>
          </w:p>
          <w:p w14:paraId="B9000000">
            <w:pPr>
              <w:rPr>
                <w:sz w:val="28"/>
              </w:rPr>
            </w:pPr>
            <w:r>
              <w:rPr>
                <w:sz w:val="28"/>
              </w:rPr>
              <w:t>Расчет вышеуказанной суммы затрат произведен с использованием калькулятора расчета стандартных издержек (regulation.gov.ru) в случае обращения заявителя за согласованием создания места (площадки) накопления ТКО.</w:t>
            </w:r>
          </w:p>
          <w:p w14:paraId="BA000000">
            <w:pPr>
              <w:rPr>
                <w:sz w:val="28"/>
              </w:rPr>
            </w:pPr>
            <w:r>
              <w:rPr>
                <w:sz w:val="28"/>
              </w:rPr>
              <w:t>Расчет издержек на подготовку и представление запроса и документов:</w:t>
            </w:r>
          </w:p>
          <w:p w14:paraId="BB000000">
            <w:pPr>
              <w:rPr>
                <w:sz w:val="28"/>
              </w:rPr>
            </w:pPr>
            <w:r>
              <w:rPr>
                <w:sz w:val="28"/>
              </w:rPr>
              <w:t xml:space="preserve">        1) название требования: информационные издержки, связанные с предоставлением документов в органы власти;</w:t>
            </w:r>
          </w:p>
          <w:p w14:paraId="BC000000">
            <w:pPr>
              <w:rPr>
                <w:sz w:val="28"/>
              </w:rPr>
            </w:pPr>
            <w:r>
              <w:rPr>
                <w:sz w:val="28"/>
              </w:rPr>
              <w:t xml:space="preserve">        тип требования: предоставление информации (документы и их копии);</w:t>
            </w:r>
          </w:p>
          <w:p w14:paraId="BD000000">
            <w:pPr>
              <w:rPr>
                <w:sz w:val="28"/>
              </w:rPr>
            </w:pPr>
            <w:r>
              <w:rPr>
                <w:sz w:val="28"/>
              </w:rPr>
              <w:t xml:space="preserve">        раздел требования: информационное;</w:t>
            </w:r>
          </w:p>
          <w:p w14:paraId="BE000000">
            <w:pPr>
              <w:rPr>
                <w:sz w:val="28"/>
              </w:rPr>
            </w:pPr>
            <w:r>
              <w:rPr>
                <w:sz w:val="28"/>
              </w:rPr>
              <w:t xml:space="preserve">        информационный элемент: подача заявления на согласование создания места (площадки) накопления ТКО;</w:t>
            </w:r>
          </w:p>
          <w:p w14:paraId="BF000000">
            <w:pPr>
              <w:rPr>
                <w:sz w:val="28"/>
              </w:rPr>
            </w:pPr>
            <w:r>
              <w:rPr>
                <w:sz w:val="28"/>
              </w:rPr>
              <w:tab/>
            </w:r>
            <w:r>
              <w:rPr>
                <w:sz w:val="28"/>
              </w:rPr>
              <w:t>тип элемента: документы, составленные для передачи органам власти;</w:t>
            </w:r>
          </w:p>
          <w:p w14:paraId="C0000000">
            <w:pPr>
              <w:rPr>
                <w:sz w:val="28"/>
              </w:rPr>
            </w:pPr>
            <w:r>
              <w:rPr>
                <w:sz w:val="28"/>
              </w:rPr>
              <w:t xml:space="preserve">          масштаб: число заявлений - 1 ед.    </w:t>
            </w:r>
          </w:p>
          <w:p w14:paraId="C1000000">
            <w:pPr>
              <w:rPr>
                <w:sz w:val="28"/>
              </w:rPr>
            </w:pPr>
            <w:r>
              <w:rPr>
                <w:sz w:val="28"/>
              </w:rPr>
              <w:t xml:space="preserve">частота представления: 1 ед.   </w:t>
            </w:r>
          </w:p>
          <w:p w14:paraId="C2000000">
            <w:pPr>
              <w:rPr>
                <w:sz w:val="28"/>
              </w:rPr>
            </w:pPr>
            <w:r>
              <w:rPr>
                <w:sz w:val="28"/>
              </w:rPr>
              <w:t xml:space="preserve">Действия: </w:t>
            </w:r>
          </w:p>
          <w:p w14:paraId="C3000000">
            <w:pPr>
              <w:rPr>
                <w:sz w:val="28"/>
              </w:rPr>
            </w:pPr>
            <w:r>
              <w:rPr>
                <w:sz w:val="28"/>
              </w:rPr>
              <w:t>Копирование документов – 1 ,00 чел./часов.</w:t>
            </w:r>
          </w:p>
          <w:p w14:paraId="C4000000">
            <w:pPr>
              <w:rPr>
                <w:sz w:val="28"/>
              </w:rPr>
            </w:pPr>
            <w:r>
              <w:rPr>
                <w:sz w:val="28"/>
              </w:rPr>
              <w:t>Подача заявления – 1 чел./час.</w:t>
            </w:r>
          </w:p>
          <w:p w14:paraId="C5000000">
            <w:pPr>
              <w:rPr>
                <w:sz w:val="28"/>
              </w:rPr>
            </w:pPr>
            <w:r>
              <w:rPr>
                <w:sz w:val="28"/>
              </w:rPr>
              <w:t>Тип требования: приобретение расходных материалов;</w:t>
            </w:r>
          </w:p>
          <w:p w14:paraId="C6000000">
            <w:pPr>
              <w:rPr>
                <w:sz w:val="28"/>
              </w:rPr>
            </w:pPr>
            <w:r>
              <w:rPr>
                <w:sz w:val="28"/>
              </w:rPr>
              <w:t>Раздел требования: содержательное;</w:t>
            </w:r>
          </w:p>
          <w:p w14:paraId="C7000000">
            <w:pPr>
              <w:rPr>
                <w:sz w:val="28"/>
              </w:rPr>
            </w:pPr>
            <w:r>
              <w:rPr>
                <w:sz w:val="28"/>
              </w:rPr>
              <w:t>Список приобретений:</w:t>
            </w:r>
          </w:p>
          <w:p w14:paraId="C8000000">
            <w:pPr>
              <w:rPr>
                <w:sz w:val="28"/>
              </w:rPr>
            </w:pPr>
            <w:r>
              <w:rPr>
                <w:sz w:val="28"/>
              </w:rPr>
              <w:t>Затраты на расходные материалы и канцелярские товары – 100 руб.</w:t>
            </w:r>
          </w:p>
          <w:p w14:paraId="C9000000">
            <w:pPr>
              <w:rPr>
                <w:sz w:val="28"/>
              </w:rPr>
            </w:pPr>
            <w:r>
              <w:rPr>
                <w:sz w:val="28"/>
              </w:rPr>
              <w:t>Среднемесячная заработная плата работников крупных и средних организаций муниципального образования Северский район по состоянию на 2026 г. согласно данным органов статистики: 101 752 руб.</w:t>
            </w:r>
          </w:p>
          <w:p w14:paraId="CA000000">
            <w:pPr>
              <w:rPr>
                <w:sz w:val="28"/>
              </w:rPr>
            </w:pPr>
            <w:r>
              <w:rPr>
                <w:sz w:val="28"/>
              </w:rPr>
              <w:t xml:space="preserve">Средняя стоимость часа работы: 618 руб. </w:t>
            </w:r>
          </w:p>
          <w:p w14:paraId="CB000000">
            <w:pPr>
              <w:rPr>
                <w:sz w:val="28"/>
              </w:rPr>
            </w:pPr>
            <w:r>
              <w:rPr>
                <w:sz w:val="28"/>
              </w:rPr>
              <w:t xml:space="preserve">          Стоимость требования: 1609,8 руб. </w:t>
            </w:r>
            <w:r>
              <w:rPr>
                <w:sz w:val="28"/>
              </w:rPr>
              <w:t xml:space="preserve"> в расчете на 1 ед.</w:t>
            </w:r>
          </w:p>
        </w:tc>
      </w:tr>
      <w:tr>
        <w:tc>
          <w:tcPr>
            <w:tcW w:type="dxa" w:w="10206"/>
            <w:gridSpan w:val="18"/>
          </w:tcPr>
          <w:p w14:paraId="C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7.5. Издержки и выгоды адресатов предлагаемого правового регулирования, не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поддающиеся количественной оценке:</w:t>
            </w:r>
          </w:p>
          <w:p w14:paraId="C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  <w:p w14:paraId="CE000000">
            <w:pPr>
              <w:widowControl w:val="1"/>
              <w:ind w:firstLine="604"/>
              <w:jc w:val="both"/>
            </w:pPr>
          </w:p>
          <w:p w14:paraId="C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7.6. Источники данных:</w:t>
            </w:r>
          </w:p>
          <w:p w14:paraId="D0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D1000000">
            <w:pPr>
              <w:widowControl w:val="1"/>
              <w:ind/>
              <w:jc w:val="both"/>
              <w:rPr>
                <w:sz w:val="28"/>
              </w:rPr>
            </w:pPr>
          </w:p>
          <w:p w14:paraId="D200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10206"/>
            <w:gridSpan w:val="18"/>
          </w:tcPr>
          <w:p w14:paraId="D3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4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8.1. Виды рисков</w:t>
            </w:r>
          </w:p>
        </w:tc>
        <w:tc>
          <w:tcPr>
            <w:tcW w:type="dxa" w:w="3402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D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D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8.3. Методы контроля рисков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center"/>
          </w:tcPr>
          <w:p w14:paraId="D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8.4. Степень контроля рисков (полный / частичный / отсутствует)</w:t>
            </w:r>
          </w:p>
          <w:p w14:paraId="D800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3402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D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type="dxa" w:w="3260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D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</w:tr>
      <w:tr>
        <w:tc>
          <w:tcPr>
            <w:tcW w:type="dxa" w:w="10206"/>
            <w:gridSpan w:val="18"/>
          </w:tcPr>
          <w:p w14:paraId="DD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D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 Сравнение возможных вариантов решения проблемы:</w:t>
            </w:r>
          </w:p>
          <w:p w14:paraId="DF000000">
            <w:pPr>
              <w:widowControl w:val="1"/>
              <w:ind w:firstLine="604"/>
              <w:jc w:val="both"/>
            </w:pP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0000000">
            <w:pPr>
              <w:widowControl w:val="1"/>
              <w:ind/>
              <w:jc w:val="both"/>
            </w:pP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1000000">
            <w:pPr>
              <w:widowControl w:val="1"/>
              <w:ind/>
              <w:jc w:val="center"/>
            </w:pPr>
            <w:r>
              <w:t>Вариант 1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2000000">
            <w:pPr>
              <w:widowControl w:val="1"/>
              <w:ind/>
              <w:jc w:val="center"/>
            </w:pPr>
            <w:r>
              <w:t>Вариант 2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3000000">
            <w:pPr>
              <w:widowControl w:val="1"/>
              <w:ind/>
              <w:jc w:val="center"/>
            </w:pPr>
            <w:r>
              <w:t>Вариант 3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4000000">
            <w:r>
              <w:t>9.1. Содержание варианта решения проблемы</w:t>
            </w:r>
            <w:r>
              <w:t>:</w:t>
            </w:r>
          </w:p>
          <w:p w14:paraId="E5000000"/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6000000">
            <w:pPr>
              <w:widowControl w:val="1"/>
              <w:ind/>
              <w:jc w:val="center"/>
            </w:pPr>
            <w:r>
              <w:t>Принятие муниципального нормативного правового акта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7000000">
            <w:pPr>
              <w:widowControl w:val="1"/>
              <w:ind/>
              <w:jc w:val="center"/>
            </w:pPr>
            <w:r>
              <w:t>Непринятие муниципального нормативного правового акта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8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9000000">
            <w: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A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лица, в том числе индивидуальный предприниматель, юридическое лицо, </w:t>
            </w:r>
            <w:r>
              <w:rPr>
                <w:rFonts w:ascii="Times New Roman" w:hAnsi="Times New Roman"/>
                <w:sz w:val="24"/>
              </w:rPr>
      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B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EC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D000000">
            <w: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E000000">
            <w:pPr>
              <w:widowControl w:val="1"/>
              <w:ind/>
              <w:jc w:val="center"/>
            </w:pPr>
            <w:r>
              <w:t xml:space="preserve">В расчете на 1 заявителя стоимость требования составляет         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1 609,08 руб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EF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0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1000000">
            <w:r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2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3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4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5000000">
            <w:r>
              <w:t>9.5. Оценка возможности достижения заявленных целей регулирования (</w:t>
            </w:r>
            <w:r>
              <w:rPr>
                <w:rStyle w:val="Style_5_ch"/>
                <w:color w:val="106BBE"/>
              </w:rPr>
              <w:fldChar w:fldCharType="begin"/>
            </w:r>
            <w:r>
              <w:rPr>
                <w:rStyle w:val="Style_5_ch"/>
                <w:color w:val="106BBE"/>
              </w:rPr>
              <w:instrText>HYPERLINK \l "sub_10003"</w:instrText>
            </w:r>
            <w:r>
              <w:rPr>
                <w:rStyle w:val="Style_5_ch"/>
                <w:color w:val="106BBE"/>
              </w:rPr>
              <w:fldChar w:fldCharType="separate"/>
            </w:r>
            <w:r>
              <w:rPr>
                <w:rStyle w:val="Style_5_ch"/>
                <w:color w:val="106BBE"/>
              </w:rPr>
              <w:t>пункт 3</w:t>
            </w:r>
            <w:r>
              <w:rPr>
                <w:rStyle w:val="Style_5_ch"/>
                <w:color w:val="106BBE"/>
              </w:rPr>
              <w:fldChar w:fldCharType="end"/>
            </w:r>
            <w: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6000000">
            <w:pPr>
              <w:widowControl w:val="1"/>
              <w:ind/>
              <w:jc w:val="center"/>
            </w:pPr>
            <w:r>
              <w:t>Предполагаем</w:t>
            </w:r>
            <w:r>
              <w:t>а</w:t>
            </w:r>
            <w:r>
              <w:t>я цель будет достигнута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7000000">
            <w:pPr>
              <w:widowControl w:val="1"/>
              <w:ind/>
              <w:jc w:val="center"/>
            </w:pPr>
            <w:r>
              <w:t>Предполагаемая цель не будет достигнута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8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496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9000000">
            <w:r>
              <w:t>9.6. Оценка рисков неблагоприятных последствий</w:t>
            </w:r>
          </w:p>
        </w:tc>
        <w:tc>
          <w:tcPr>
            <w:tcW w:type="dxa" w:w="1984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A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7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FB000000">
            <w:pPr>
              <w:widowControl w:val="1"/>
              <w:ind/>
              <w:jc w:val="center"/>
            </w:pPr>
            <w:r>
              <w:t>отсутствует</w:t>
            </w:r>
          </w:p>
        </w:tc>
        <w:tc>
          <w:tcPr>
            <w:tcW w:type="dxa" w:w="155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FC000000">
            <w:pPr>
              <w:widowControl w:val="1"/>
              <w:ind/>
              <w:jc w:val="center"/>
            </w:pPr>
            <w:r>
              <w:t>отсутствует</w:t>
            </w:r>
          </w:p>
        </w:tc>
      </w:tr>
      <w:tr>
        <w:tc>
          <w:tcPr>
            <w:tcW w:type="dxa" w:w="10206"/>
            <w:gridSpan w:val="18"/>
          </w:tcPr>
          <w:p w14:paraId="FD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18"/>
          </w:tcPr>
          <w:p w14:paraId="F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9.7. Обоснование выбора предпочтительного варианта решения выяв-ленной проблемы: </w:t>
            </w:r>
          </w:p>
          <w:p w14:paraId="F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Выбор </w:t>
            </w:r>
            <w:r>
              <w:rPr>
                <w:rFonts w:ascii="Times New Roman" w:hAnsi="Times New Roman"/>
                <w:sz w:val="28"/>
              </w:rPr>
      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</w:t>
            </w:r>
            <w:r>
              <w:rPr>
                <w:sz w:val="28"/>
              </w:rPr>
              <w:t>.</w:t>
            </w:r>
          </w:p>
          <w:p w14:paraId="00010000">
            <w:pPr>
              <w:widowControl w:val="1"/>
              <w:ind w:firstLine="888"/>
              <w:jc w:val="both"/>
              <w:rPr>
                <w:sz w:val="28"/>
              </w:rPr>
            </w:pPr>
          </w:p>
          <w:p w14:paraId="0101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9.8. Детальное описание предлагаемого варианта решения проблемы:</w:t>
            </w:r>
          </w:p>
          <w:p w14:paraId="0201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Проектом МНПА предлагается утвердить административный регламент предоставления муниципальной услуги «Согласование создания места (площадки) накопления твердых коммунальных отходов накопления твердых коммунальных отходов» в соответствии с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требованиями федерального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законодательства, а именно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Ф</w:t>
            </w:r>
            <w:r>
              <w:rPr>
                <w:rFonts w:ascii="Times New Roman" w:hAnsi="Times New Roman"/>
                <w:sz w:val="28"/>
              </w:rPr>
              <w:t>едеральны</w:t>
            </w:r>
            <w:r>
              <w:rPr>
                <w:rFonts w:ascii="Times New Roman" w:hAnsi="Times New Roman"/>
                <w:sz w:val="28"/>
              </w:rPr>
              <w:t xml:space="preserve">ми </w:t>
            </w:r>
            <w:r>
              <w:rPr>
                <w:rFonts w:ascii="Times New Roman" w:hAnsi="Times New Roman"/>
                <w:sz w:val="28"/>
              </w:rPr>
              <w:t>закон</w:t>
            </w:r>
            <w:r>
              <w:rPr>
                <w:rFonts w:ascii="Times New Roman" w:hAnsi="Times New Roman"/>
                <w:sz w:val="28"/>
              </w:rPr>
              <w:t>ами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24 июня 1998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89-ФЗ «Об отходах производства и потребления»,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10 января 2002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7-ФЗ «Об охране окружающей среды»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от 27 июля </w:t>
            </w: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2010 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№ 210-ФЗ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«Об организации предоставления государственных и муниципальных услуг»,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</w:t>
            </w:r>
            <w:r>
              <w:rPr>
                <w:rFonts w:ascii="Times New Roman" w:hAnsi="Times New Roman"/>
                <w:sz w:val="28"/>
              </w:rPr>
              <w:t>остановление администрации муниципального образования Северский муниципальный район Краснодарского края от 04 сентября 2026 г. № 1498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shd w:fill="FAF8F5" w:val="clear"/>
              </w:rPr>
      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район».</w:t>
            </w:r>
          </w:p>
        </w:tc>
      </w:tr>
      <w:tr>
        <w:tc>
          <w:tcPr>
            <w:tcW w:type="dxa" w:w="10206"/>
            <w:gridSpan w:val="18"/>
          </w:tcPr>
          <w:p w14:paraId="03010000">
            <w:pPr>
              <w:widowControl w:val="1"/>
              <w:ind/>
              <w:jc w:val="both"/>
              <w:rPr>
                <w:sz w:val="28"/>
              </w:rPr>
            </w:pPr>
          </w:p>
          <w:p w14:paraId="04010000">
            <w:pPr>
              <w:widowControl w:val="1"/>
              <w:ind w:firstLine="888"/>
              <w:jc w:val="both"/>
            </w:pPr>
            <w:r>
              <w:rPr>
                <w:sz w:val="28"/>
              </w:rPr>
              <w:t>10.1.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ноябрь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>
        <w:tc>
          <w:tcPr>
            <w:tcW w:type="dxa" w:w="10206"/>
            <w:gridSpan w:val="18"/>
            <w:tcBorders>
              <w:bottom w:color="000000" w:sz="4" w:val="single"/>
            </w:tcBorders>
          </w:tcPr>
          <w:p w14:paraId="0501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0601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</w:p>
          <w:p w14:paraId="0701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391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а) срок переходного периода:</w:t>
            </w:r>
          </w:p>
        </w:tc>
        <w:tc>
          <w:tcPr>
            <w:tcW w:type="dxa" w:w="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type="dxa" w:w="5953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 с даты принятия проекта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муниципального нормативного правового акта;</w:t>
            </w:r>
          </w:p>
        </w:tc>
      </w:tr>
      <w:tr>
        <w:tc>
          <w:tcPr>
            <w:tcW w:type="dxa" w:w="7835"/>
            <w:gridSpan w:val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type="dxa" w:w="12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нет.</w:t>
            </w:r>
          </w:p>
        </w:tc>
      </w:tr>
      <w:tr>
        <w:tc>
          <w:tcPr>
            <w:tcW w:type="dxa" w:w="7835"/>
            <w:gridSpan w:val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10.3.1. Период распро</w:t>
            </w:r>
            <w:r>
              <w:rPr>
                <w:sz w:val="22"/>
              </w:rPr>
              <w:t>странения на ранее возникшие отношения:</w:t>
            </w:r>
          </w:p>
        </w:tc>
        <w:tc>
          <w:tcPr>
            <w:tcW w:type="dxa" w:w="12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widowControl w:val="1"/>
              <w:ind/>
              <w:jc w:val="both"/>
              <w:rPr>
                <w:sz w:val="22"/>
                <w:u w:val="single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  <w:u w:val="single"/>
              </w:rPr>
              <w:t xml:space="preserve"> нет</w:t>
            </w:r>
          </w:p>
        </w:tc>
        <w:tc>
          <w:tcPr>
            <w:tcW w:type="dxa" w:w="1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дней</w:t>
            </w:r>
          </w:p>
        </w:tc>
      </w:tr>
      <w:tr>
        <w:tc>
          <w:tcPr>
            <w:tcW w:type="dxa" w:w="10206"/>
            <w:gridSpan w:val="18"/>
            <w:tcBorders>
              <w:top w:color="000000" w:sz="4" w:val="single"/>
            </w:tcBorders>
          </w:tcPr>
          <w:p w14:paraId="14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 даты принятия проекта муниципального нормативного правового акта.</w:t>
            </w:r>
          </w:p>
          <w:p w14:paraId="15010000">
            <w:pPr>
              <w:widowControl w:val="1"/>
              <w:ind/>
              <w:jc w:val="both"/>
            </w:pPr>
          </w:p>
        </w:tc>
      </w:tr>
      <w:tr>
        <w:tc>
          <w:tcPr>
            <w:tcW w:type="dxa" w:w="10206"/>
            <w:gridSpan w:val="18"/>
          </w:tcPr>
          <w:p w14:paraId="1601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возникшие отношения</w:t>
            </w:r>
            <w:r>
              <w:rPr>
                <w:sz w:val="28"/>
              </w:rPr>
              <w:t>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Отсутствует</w:t>
            </w:r>
          </w:p>
        </w:tc>
      </w:tr>
      <w:tr>
        <w:tc>
          <w:tcPr>
            <w:tcW w:type="dxa" w:w="3077"/>
            <w:gridSpan w:val="3"/>
          </w:tcPr>
          <w:p w14:paraId="17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129"/>
            <w:gridSpan w:val="15"/>
          </w:tcPr>
          <w:p/>
        </w:tc>
      </w:tr>
      <w:tr>
        <w:tc>
          <w:tcPr>
            <w:tcW w:type="dxa" w:w="5036"/>
            <w:gridSpan w:val="8"/>
          </w:tcPr>
          <w:p w14:paraId="18010000">
            <w:pPr>
              <w:rPr>
                <w:sz w:val="28"/>
              </w:rPr>
            </w:pPr>
          </w:p>
          <w:p w14:paraId="19010000">
            <w:pPr>
              <w:rPr>
                <w:sz w:val="28"/>
              </w:rPr>
            </w:pPr>
          </w:p>
          <w:p w14:paraId="1A010000">
            <w:pPr>
              <w:rPr>
                <w:sz w:val="28"/>
              </w:rPr>
            </w:pPr>
            <w:r>
              <w:rPr>
                <w:sz w:val="28"/>
              </w:rPr>
              <w:t>Начальник у</w:t>
            </w:r>
            <w:r>
              <w:rPr>
                <w:sz w:val="28"/>
              </w:rPr>
              <w:t>правления</w:t>
            </w:r>
            <w:r>
              <w:rPr>
                <w:sz w:val="28"/>
              </w:rPr>
              <w:t xml:space="preserve"> по координации работы жилищно-коммунального комплекса</w:t>
            </w:r>
          </w:p>
        </w:tc>
        <w:tc>
          <w:tcPr>
            <w:tcW w:type="dxa" w:w="5170"/>
            <w:gridSpan w:val="10"/>
          </w:tcPr>
          <w:p w14:paraId="1B01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077"/>
            <w:gridSpan w:val="3"/>
            <w:tcBorders>
              <w:bottom w:color="000000" w:sz="1" w:val="single"/>
            </w:tcBorders>
          </w:tcPr>
          <w:p w14:paraId="1C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К.Э. Белошапка</w:t>
            </w:r>
          </w:p>
        </w:tc>
        <w:tc>
          <w:tcPr>
            <w:tcW w:type="dxa" w:w="1959"/>
            <w:gridSpan w:val="5"/>
          </w:tcPr>
          <w:p w14:paraId="1D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099"/>
            <w:gridSpan w:val="4"/>
            <w:tcBorders>
              <w:bottom w:color="000000" w:sz="1" w:val="single"/>
            </w:tcBorders>
          </w:tcPr>
          <w:p w14:paraId="1E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25.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>9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26</w:t>
            </w:r>
          </w:p>
        </w:tc>
        <w:tc>
          <w:tcPr>
            <w:tcW w:type="dxa" w:w="236"/>
          </w:tcPr>
          <w:p w14:paraId="1F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5"/>
            <w:tcBorders>
              <w:bottom w:color="000000" w:sz="1" w:val="single"/>
            </w:tcBorders>
          </w:tcPr>
          <w:p w14:paraId="2001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077"/>
            <w:gridSpan w:val="3"/>
          </w:tcPr>
          <w:p w14:paraId="21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(инициалы, фамилия)</w:t>
            </w:r>
          </w:p>
        </w:tc>
        <w:tc>
          <w:tcPr>
            <w:tcW w:type="dxa" w:w="1959"/>
            <w:gridSpan w:val="5"/>
          </w:tcPr>
          <w:p w14:paraId="22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099"/>
            <w:gridSpan w:val="4"/>
          </w:tcPr>
          <w:p w14:paraId="23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(дата)</w:t>
            </w:r>
          </w:p>
        </w:tc>
        <w:tc>
          <w:tcPr>
            <w:tcW w:type="dxa" w:w="236"/>
          </w:tcPr>
          <w:p w14:paraId="24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35"/>
            <w:gridSpan w:val="5"/>
          </w:tcPr>
          <w:p w14:paraId="25010000">
            <w:pPr>
              <w:widowControl w:val="1"/>
              <w:ind/>
              <w:jc w:val="center"/>
            </w:pPr>
            <w:r>
              <w:rPr>
                <w:sz w:val="28"/>
              </w:rPr>
              <w:t>(подпись)</w:t>
            </w:r>
          </w:p>
        </w:tc>
      </w:tr>
    </w:tbl>
    <w:p w14:paraId="26010000"/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pgSz w:h="16838" w:orient="portrait" w:w="11906"/>
      <w:pgMar w:bottom="1134" w:footer="720" w:gutter="0" w:header="1134" w:left="1134" w:right="1134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3"/>
      <w:suff w:val="nothing"/>
      <w:lvlJc w:val="left"/>
      <w:pPr>
        <w:widowControl w:val="1"/>
        <w:tabs>
          <w:tab w:leader="none" w:pos="0" w:val="left"/>
        </w:tabs>
        <w:ind w:hanging="432" w:left="432"/>
      </w:pPr>
    </w:lvl>
    <w:lvl w:ilvl="1">
      <w:start w:val="1"/>
      <w:numFmt w:val="decimal"/>
      <w:suff w:val="nothing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pStyle w:val="Style_48"/>
      <w:suff w:val="nothing"/>
      <w:lvlJc w:val="left"/>
      <w:pPr>
        <w:widowControl w:val="1"/>
        <w:tabs>
          <w:tab w:leader="none" w:pos="0" w:val="left"/>
        </w:tabs>
        <w:ind w:hanging="1152" w:left="1152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ind/>
    </w:pPr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spfo1"/>
    <w:link w:val="Style_8_ch"/>
  </w:style>
  <w:style w:styleId="Style_8_ch" w:type="character">
    <w:name w:val="spfo1"/>
    <w:link w:val="Style_8"/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Body Text"/>
    <w:basedOn w:val="Style_6"/>
    <w:link w:val="Style_12_ch"/>
    <w:pPr>
      <w:widowControl w:val="1"/>
      <w:spacing w:after="120" w:before="0"/>
      <w:ind/>
    </w:pPr>
  </w:style>
  <w:style w:styleId="Style_12_ch" w:type="character">
    <w:name w:val="Body Text"/>
    <w:basedOn w:val="Style_6_ch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basedOn w:val="Style_6"/>
    <w:next w:val="Style_6"/>
    <w:link w:val="Style_14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14_ch" w:type="character">
    <w:name w:val="heading 3"/>
    <w:basedOn w:val="Style_6_ch"/>
    <w:link w:val="Style_14"/>
    <w:rPr>
      <w:rFonts w:ascii="Calibri Light" w:hAnsi="Calibri Light"/>
      <w:b w:val="1"/>
      <w:sz w:val="26"/>
    </w:rPr>
  </w:style>
  <w:style w:styleId="Style_15" w:type="paragraph">
    <w:name w:val="Основной текст 31"/>
    <w:basedOn w:val="Style_6"/>
    <w:link w:val="Style_15_ch"/>
    <w:pPr>
      <w:widowControl w:val="1"/>
      <w:ind/>
      <w:jc w:val="center"/>
    </w:pPr>
    <w:rPr>
      <w:sz w:val="28"/>
    </w:rPr>
  </w:style>
  <w:style w:styleId="Style_15_ch" w:type="character">
    <w:name w:val="Основной текст 31"/>
    <w:basedOn w:val="Style_6_ch"/>
    <w:link w:val="Style_15"/>
    <w:rPr>
      <w:sz w:val="28"/>
    </w:rPr>
  </w:style>
  <w:style w:styleId="Style_16" w:type="paragraph">
    <w:name w:val="Указатель2"/>
    <w:basedOn w:val="Style_6"/>
    <w:link w:val="Style_16_ch"/>
  </w:style>
  <w:style w:styleId="Style_16_ch" w:type="character">
    <w:name w:val="Указатель2"/>
    <w:basedOn w:val="Style_6_ch"/>
    <w:link w:val="Style_16"/>
  </w:style>
  <w:style w:styleId="Style_17" w:type="paragraph">
    <w:name w:val="Гипертекстовая ссылка"/>
    <w:link w:val="Style_17_ch"/>
    <w:rPr>
      <w:b w:val="1"/>
      <w:color w:val="008000"/>
    </w:rPr>
  </w:style>
  <w:style w:styleId="Style_17_ch" w:type="character">
    <w:name w:val="Гипертекстовая ссылка"/>
    <w:link w:val="Style_17"/>
    <w:rPr>
      <w:b w:val="1"/>
      <w:color w:val="008000"/>
    </w:rPr>
  </w:style>
  <w:style w:styleId="Style_18" w:type="paragraph">
    <w:name w:val=".FORMATTEXT"/>
    <w:link w:val="Style_18_ch"/>
    <w:pPr>
      <w:widowControl w:val="0"/>
      <w:ind/>
    </w:pPr>
    <w:rPr>
      <w:rFonts w:ascii="Arial" w:hAnsi="Arial"/>
    </w:rPr>
  </w:style>
  <w:style w:styleId="Style_18_ch" w:type="character">
    <w:name w:val=".FORMATTEXT"/>
    <w:link w:val="Style_18"/>
    <w:rPr>
      <w:rFonts w:ascii="Arial" w:hAnsi="Arial"/>
    </w:rPr>
  </w:style>
  <w:style w:styleId="Style_19" w:type="paragraph">
    <w:name w:val="footer"/>
    <w:basedOn w:val="Style_6"/>
    <w:link w:val="Style_19_ch"/>
    <w:pPr>
      <w:widowControl w:val="1"/>
      <w:tabs>
        <w:tab w:leader="none" w:pos="4819" w:val="center"/>
        <w:tab w:leader="none" w:pos="9638" w:val="right"/>
      </w:tabs>
      <w:ind/>
    </w:pPr>
  </w:style>
  <w:style w:styleId="Style_19_ch" w:type="character">
    <w:name w:val="footer"/>
    <w:basedOn w:val="Style_6_ch"/>
    <w:link w:val="Style_19"/>
  </w:style>
  <w:style w:styleId="Style_20" w:type="paragraph">
    <w:name w:val="toc 3"/>
    <w:next w:val="Style_6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Указатель1"/>
    <w:basedOn w:val="Style_6"/>
    <w:link w:val="Style_21_ch"/>
  </w:style>
  <w:style w:styleId="Style_21_ch" w:type="character">
    <w:name w:val="Указатель1"/>
    <w:basedOn w:val="Style_6_ch"/>
    <w:link w:val="Style_21"/>
  </w:style>
  <w:style w:styleId="Style_22" w:type="paragraph">
    <w:name w:val="headertext"/>
    <w:basedOn w:val="Style_6"/>
    <w:link w:val="Style_22_ch"/>
    <w:pPr>
      <w:widowControl w:val="1"/>
      <w:spacing w:afterAutospacing="on" w:beforeAutospacing="on"/>
      <w:ind/>
    </w:pPr>
  </w:style>
  <w:style w:styleId="Style_22_ch" w:type="character">
    <w:name w:val="headertext"/>
    <w:basedOn w:val="Style_6_ch"/>
    <w:link w:val="Style_22"/>
  </w:style>
  <w:style w:styleId="Style_23" w:type="paragraph">
    <w:name w:val="Название2"/>
    <w:basedOn w:val="Style_6"/>
    <w:link w:val="Style_23_ch"/>
    <w:pPr>
      <w:widowControl w:val="1"/>
      <w:spacing w:after="120" w:before="120"/>
      <w:ind/>
    </w:pPr>
    <w:rPr>
      <w:i w:val="1"/>
      <w:sz w:val="24"/>
    </w:rPr>
  </w:style>
  <w:style w:styleId="Style_23_ch" w:type="character">
    <w:name w:val="Название2"/>
    <w:basedOn w:val="Style_6_ch"/>
    <w:link w:val="Style_23"/>
    <w:rPr>
      <w:i w:val="1"/>
      <w:sz w:val="24"/>
    </w:rPr>
  </w:style>
  <w:style w:styleId="Style_24" w:type="paragraph">
    <w:name w:val="Нормальный (таблица)"/>
    <w:basedOn w:val="Style_6"/>
    <w:next w:val="Style_6"/>
    <w:link w:val="Style_24_ch"/>
    <w:pPr>
      <w:widowControl w:val="0"/>
      <w:ind/>
      <w:jc w:val="both"/>
    </w:pPr>
    <w:rPr>
      <w:rFonts w:ascii="Arial" w:hAnsi="Arial"/>
    </w:rPr>
  </w:style>
  <w:style w:styleId="Style_24_ch" w:type="character">
    <w:name w:val="Нормальный (таблица)"/>
    <w:basedOn w:val="Style_6_ch"/>
    <w:link w:val="Style_24"/>
    <w:rPr>
      <w:rFonts w:ascii="Arial" w:hAnsi="Arial"/>
    </w:rPr>
  </w:style>
  <w:style w:styleId="Style_25" w:type="paragraph">
    <w:name w:val="List Paragraph"/>
    <w:basedOn w:val="Style_6"/>
    <w:link w:val="Style_25_ch"/>
    <w:pPr>
      <w:widowControl w:val="1"/>
      <w:ind w:left="720"/>
      <w:contextualSpacing w:val="1"/>
    </w:pPr>
    <w:rPr>
      <w:rFonts w:ascii="Arial" w:hAnsi="Arial"/>
      <w:sz w:val="26"/>
    </w:rPr>
  </w:style>
  <w:style w:styleId="Style_25_ch" w:type="character">
    <w:name w:val="List Paragraph"/>
    <w:basedOn w:val="Style_6_ch"/>
    <w:link w:val="Style_25"/>
    <w:rPr>
      <w:rFonts w:ascii="Arial" w:hAnsi="Arial"/>
      <w:sz w:val="26"/>
    </w:rPr>
  </w:style>
  <w:style w:styleId="Style_26" w:type="paragraph">
    <w:name w:val="Верхний колонтитул Знак"/>
    <w:link w:val="Style_26_ch"/>
    <w:rPr>
      <w:sz w:val="24"/>
    </w:rPr>
  </w:style>
  <w:style w:styleId="Style_26_ch" w:type="character">
    <w:name w:val="Верхний колонтитул Знак"/>
    <w:link w:val="Style_26"/>
    <w:rPr>
      <w:sz w:val="24"/>
    </w:rPr>
  </w:style>
  <w:style w:styleId="Style_27" w:type="paragraph">
    <w:name w:val="Normal (Web)"/>
    <w:basedOn w:val="Style_6"/>
    <w:link w:val="Style_27_ch"/>
    <w:pPr>
      <w:widowControl w:val="1"/>
      <w:spacing w:after="119" w:before="28" w:line="100" w:lineRule="atLeast"/>
      <w:ind/>
    </w:pPr>
  </w:style>
  <w:style w:styleId="Style_27_ch" w:type="character">
    <w:name w:val="Normal (Web)"/>
    <w:basedOn w:val="Style_6_ch"/>
    <w:link w:val="Style_27"/>
  </w:style>
  <w:style w:styleId="Style_28" w:type="paragraph">
    <w:name w:val="heading 5"/>
    <w:next w:val="Style_6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3" w:type="paragraph">
    <w:name w:val="heading 1"/>
    <w:basedOn w:val="Style_6"/>
    <w:next w:val="Style_6"/>
    <w:link w:val="Style_3_ch"/>
    <w:uiPriority w:val="9"/>
    <w:qFormat/>
    <w:pPr>
      <w:widowControl w:val="1"/>
      <w:numPr>
        <w:ilvl w:val="0"/>
        <w:numId w:val="1"/>
      </w:numPr>
      <w:spacing w:after="108" w:before="108"/>
      <w:ind/>
      <w:jc w:val="center"/>
      <w:outlineLvl w:val="0"/>
    </w:pPr>
    <w:rPr>
      <w:rFonts w:ascii="Arial" w:hAnsi="Arial"/>
      <w:b w:val="1"/>
      <w:color w:val="26282F"/>
    </w:rPr>
  </w:style>
  <w:style w:styleId="Style_3_ch" w:type="character">
    <w:name w:val="heading 1"/>
    <w:basedOn w:val="Style_6_ch"/>
    <w:link w:val="Style_3"/>
    <w:rPr>
      <w:rFonts w:ascii="Arial" w:hAnsi="Arial"/>
      <w:b w:val="1"/>
      <w:color w:val="26282F"/>
    </w:rPr>
  </w:style>
  <w:style w:styleId="Style_29" w:type="paragraph">
    <w:name w:val="Заголовок таблицы"/>
    <w:basedOn w:val="Style_30"/>
    <w:link w:val="Style_29_ch"/>
    <w:pPr>
      <w:widowControl w:val="1"/>
      <w:ind/>
      <w:jc w:val="center"/>
    </w:pPr>
    <w:rPr>
      <w:b w:val="1"/>
    </w:rPr>
  </w:style>
  <w:style w:styleId="Style_29_ch" w:type="character">
    <w:name w:val="Заголовок таблицы"/>
    <w:basedOn w:val="Style_30_ch"/>
    <w:link w:val="Style_29"/>
    <w:rPr>
      <w:b w:val="1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styleId="Style_5" w:type="paragraph">
    <w:name w:val="Hyperlink"/>
    <w:link w:val="Style_5_ch"/>
    <w:rPr>
      <w:color w:val="000080"/>
      <w:u w:val="single"/>
    </w:rPr>
  </w:style>
  <w:style w:styleId="Style_5_ch" w:type="character">
    <w:name w:val="Hyperlink"/>
    <w:link w:val="Style_5"/>
    <w:rPr>
      <w:color w:val="000080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toc 1"/>
    <w:next w:val="Style_6"/>
    <w:link w:val="Style_3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35" w:type="paragraph">
    <w:name w:val="List"/>
    <w:basedOn w:val="Style_12"/>
    <w:link w:val="Style_35_ch"/>
  </w:style>
  <w:style w:styleId="Style_35_ch" w:type="character">
    <w:name w:val="List"/>
    <w:basedOn w:val="Style_12_ch"/>
    <w:link w:val="Style_35"/>
  </w:style>
  <w:style w:styleId="Style_1" w:type="paragraph">
    <w:name w:val="header"/>
    <w:basedOn w:val="Style_6"/>
    <w:link w:val="Style_1_ch"/>
    <w:pPr>
      <w:widowControl w:val="1"/>
      <w:tabs>
        <w:tab w:leader="none" w:pos="4818" w:val="center"/>
        <w:tab w:leader="none" w:pos="9637" w:val="right"/>
      </w:tabs>
      <w:ind/>
    </w:pPr>
  </w:style>
  <w:style w:styleId="Style_1_ch" w:type="character">
    <w:name w:val="header"/>
    <w:basedOn w:val="Style_6_ch"/>
    <w:link w:val="Style_1"/>
  </w:style>
  <w:style w:styleId="Style_36" w:type="paragraph">
    <w:name w:val="ConsPlusNormal"/>
    <w:link w:val="Style_36_ch"/>
    <w:rPr>
      <w:sz w:val="28"/>
    </w:rPr>
  </w:style>
  <w:style w:styleId="Style_36_ch" w:type="character">
    <w:name w:val="ConsPlusNormal"/>
    <w:link w:val="Style_36"/>
    <w:rPr>
      <w:sz w:val="28"/>
    </w:rPr>
  </w:style>
  <w:style w:styleId="Style_37" w:type="paragraph">
    <w:name w:val="toc 9"/>
    <w:next w:val="Style_6"/>
    <w:link w:val="Style_3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39" w:type="paragraph">
    <w:name w:val="Прижатый влево"/>
    <w:basedOn w:val="Style_6"/>
    <w:next w:val="Style_6"/>
    <w:link w:val="Style_39_ch"/>
    <w:pPr>
      <w:widowControl w:val="1"/>
      <w:ind/>
    </w:pPr>
    <w:rPr>
      <w:rFonts w:ascii="Cambria Math" w:hAnsi="Cambria Math"/>
    </w:rPr>
  </w:style>
  <w:style w:styleId="Style_39_ch" w:type="character">
    <w:name w:val="Прижатый влево"/>
    <w:basedOn w:val="Style_6_ch"/>
    <w:link w:val="Style_39"/>
    <w:rPr>
      <w:rFonts w:ascii="Cambria Math" w:hAnsi="Cambria Math"/>
    </w:rPr>
  </w:style>
  <w:style w:styleId="Style_40" w:type="paragraph">
    <w:name w:val="toc 8"/>
    <w:next w:val="Style_6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41" w:type="paragraph">
    <w:name w:val="Название1"/>
    <w:basedOn w:val="Style_6"/>
    <w:link w:val="Style_41_ch"/>
    <w:pPr>
      <w:widowControl w:val="1"/>
      <w:spacing w:after="120" w:before="120"/>
      <w:ind/>
    </w:pPr>
    <w:rPr>
      <w:i w:val="1"/>
      <w:sz w:val="24"/>
    </w:rPr>
  </w:style>
  <w:style w:styleId="Style_41_ch" w:type="character">
    <w:name w:val="Название1"/>
    <w:basedOn w:val="Style_6_ch"/>
    <w:link w:val="Style_41"/>
    <w:rPr>
      <w:i w:val="1"/>
      <w:sz w:val="24"/>
    </w:rPr>
  </w:style>
  <w:style w:styleId="Style_42" w:type="paragraph">
    <w:name w:val="toc 5"/>
    <w:next w:val="Style_6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30" w:type="paragraph">
    <w:name w:val="Содержимое таблицы"/>
    <w:basedOn w:val="Style_6"/>
    <w:link w:val="Style_30_ch"/>
  </w:style>
  <w:style w:styleId="Style_30_ch" w:type="character">
    <w:name w:val="Содержимое таблицы"/>
    <w:basedOn w:val="Style_6_ch"/>
    <w:link w:val="Style_30"/>
  </w:style>
  <w:style w:styleId="Style_43" w:type="paragraph">
    <w:name w:val="Subtitle"/>
    <w:next w:val="Style_6"/>
    <w:link w:val="Style_4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Title"/>
    <w:basedOn w:val="Style_6"/>
    <w:next w:val="Style_12"/>
    <w:link w:val="Style_44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44_ch" w:type="character">
    <w:name w:val="Title"/>
    <w:basedOn w:val="Style_6_ch"/>
    <w:link w:val="Style_44"/>
    <w:rPr>
      <w:rFonts w:ascii="Arial" w:hAnsi="Arial"/>
      <w:sz w:val="28"/>
    </w:rPr>
  </w:style>
  <w:style w:styleId="Style_45" w:type="paragraph">
    <w:name w:val="heading 4"/>
    <w:next w:val="Style_6"/>
    <w:link w:val="Style_4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46" w:type="paragraph">
    <w:name w:val="Hashtag"/>
    <w:link w:val="Style_46_ch"/>
    <w:rPr>
      <w:color w:val="605E5C"/>
      <w:shd w:fill="E1DFDD" w:val="clear"/>
    </w:rPr>
  </w:style>
  <w:style w:styleId="Style_46_ch" w:type="character">
    <w:name w:val="Hashtag"/>
    <w:link w:val="Style_46"/>
    <w:rPr>
      <w:color w:val="605E5C"/>
      <w:shd w:fill="E1DFDD" w:val="clear"/>
    </w:rPr>
  </w:style>
  <w:style w:styleId="Style_47" w:type="paragraph">
    <w:name w:val="heading 2"/>
    <w:basedOn w:val="Style_6"/>
    <w:next w:val="Style_6"/>
    <w:link w:val="Style_47_ch"/>
    <w:uiPriority w:val="9"/>
    <w:qFormat/>
    <w:pPr>
      <w:keepNext w:val="1"/>
      <w:widowControl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47_ch" w:type="character">
    <w:name w:val="heading 2"/>
    <w:basedOn w:val="Style_6_ch"/>
    <w:link w:val="Style_47"/>
    <w:rPr>
      <w:rFonts w:ascii="Calibri Light" w:hAnsi="Calibri Light"/>
      <w:b w:val="1"/>
      <w:i w:val="1"/>
      <w:sz w:val="28"/>
    </w:rPr>
  </w:style>
  <w:style w:styleId="Style_48" w:type="paragraph">
    <w:name w:val="heading 6"/>
    <w:basedOn w:val="Style_6"/>
    <w:next w:val="Style_6"/>
    <w:link w:val="Style_48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8_ch" w:type="character">
    <w:name w:val="heading 6"/>
    <w:basedOn w:val="Style_6_ch"/>
    <w:link w:val="Style_48"/>
    <w:rPr>
      <w:rFonts w:ascii="Calibri" w:hAnsi="Calibri"/>
      <w:b w:val="1"/>
      <w:sz w:val="22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2026-09-29T07:06:51Z</dcterms:created>
  <dcterms:modified xsi:type="dcterms:W3CDTF">2026-09-29T12:59:32Z</dcterms:modified>
</cp:coreProperties>
</file>